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0858" w14:textId="77777777" w:rsidR="006C2750" w:rsidRDefault="006C2750" w:rsidP="00DE2756">
      <w:pPr>
        <w:jc w:val="center"/>
        <w:rPr>
          <w:b/>
          <w:sz w:val="36"/>
          <w:lang w:eastAsia="de-DE"/>
        </w:rPr>
      </w:pPr>
      <w:r w:rsidRPr="00DE2756">
        <w:rPr>
          <w:b/>
          <w:sz w:val="36"/>
          <w:lang w:eastAsia="de-DE"/>
        </w:rPr>
        <w:t>Vereinbarung</w:t>
      </w:r>
      <w:r w:rsidR="00E8777F">
        <w:rPr>
          <w:b/>
          <w:sz w:val="36"/>
          <w:lang w:eastAsia="de-DE"/>
        </w:rPr>
        <w:t xml:space="preserve"> zur</w:t>
      </w:r>
    </w:p>
    <w:p w14:paraId="58ECD915" w14:textId="77777777" w:rsidR="00E8777F" w:rsidRPr="00E8777F" w:rsidRDefault="00E8777F" w:rsidP="00DE2756">
      <w:pPr>
        <w:jc w:val="center"/>
        <w:rPr>
          <w:b/>
          <w:sz w:val="36"/>
          <w:lang w:eastAsia="de-DE"/>
        </w:rPr>
      </w:pPr>
      <w:r w:rsidRPr="00E8777F">
        <w:rPr>
          <w:b/>
          <w:sz w:val="36"/>
          <w:lang w:eastAsia="de-DE"/>
        </w:rPr>
        <w:t>Auftragsdatenverarbeitung</w:t>
      </w:r>
    </w:p>
    <w:p w14:paraId="1150CE8D" w14:textId="77777777" w:rsidR="00E8777F" w:rsidRPr="00F16765" w:rsidRDefault="00E8777F" w:rsidP="00E8777F">
      <w:pPr>
        <w:spacing w:after="120" w:line="360" w:lineRule="auto"/>
        <w:jc w:val="center"/>
        <w:rPr>
          <w:rFonts w:ascii="Arial" w:hAnsi="Arial" w:cs="Times New Roman"/>
          <w:b/>
          <w:szCs w:val="20"/>
          <w:lang w:eastAsia="de-DE"/>
        </w:rPr>
      </w:pPr>
      <w:r w:rsidRPr="00F16765">
        <w:rPr>
          <w:rFonts w:ascii="Arial" w:hAnsi="Arial" w:cs="Times New Roman"/>
          <w:b/>
          <w:szCs w:val="20"/>
          <w:lang w:eastAsia="de-DE"/>
        </w:rPr>
        <w:t>gemäß Art. 28 DS-GVO</w:t>
      </w:r>
    </w:p>
    <w:p w14:paraId="6410BB7B" w14:textId="77777777" w:rsidR="006C2750" w:rsidRPr="001163E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zwischen dem/</w:t>
      </w:r>
      <w:r w:rsidRPr="001163EF">
        <w:rPr>
          <w:rFonts w:ascii="Arial" w:hAnsi="Arial" w:cs="Times New Roman"/>
          <w:szCs w:val="20"/>
          <w:lang w:eastAsia="de-DE"/>
        </w:rPr>
        <w:t>der</w:t>
      </w:r>
    </w:p>
    <w:p w14:paraId="70F549BA" w14:textId="77777777" w:rsidR="00D251D3" w:rsidRDefault="00D251D3" w:rsidP="006C2750">
      <w:pPr>
        <w:spacing w:after="120" w:line="360" w:lineRule="auto"/>
        <w:jc w:val="center"/>
        <w:rPr>
          <w:rFonts w:ascii="Arial" w:hAnsi="Arial" w:cs="Times New Roman"/>
          <w:szCs w:val="24"/>
          <w:lang w:eastAsia="de-DE"/>
        </w:rPr>
      </w:pPr>
    </w:p>
    <w:p w14:paraId="3924D9F9" w14:textId="77777777" w:rsidR="008217B1" w:rsidRDefault="008217B1" w:rsidP="006C2750">
      <w:pPr>
        <w:spacing w:after="120" w:line="360" w:lineRule="auto"/>
        <w:jc w:val="center"/>
        <w:rPr>
          <w:rFonts w:ascii="Arial" w:hAnsi="Arial" w:cs="Times New Roman"/>
          <w:szCs w:val="20"/>
          <w:lang w:eastAsia="de-DE"/>
        </w:rPr>
      </w:pPr>
    </w:p>
    <w:p w14:paraId="650A76CD" w14:textId="77777777" w:rsidR="008217B1" w:rsidRDefault="008217B1" w:rsidP="006C2750">
      <w:pPr>
        <w:spacing w:after="120" w:line="360" w:lineRule="auto"/>
        <w:jc w:val="center"/>
        <w:rPr>
          <w:rFonts w:ascii="Arial" w:hAnsi="Arial" w:cs="Times New Roman"/>
          <w:szCs w:val="20"/>
          <w:lang w:eastAsia="de-DE"/>
        </w:rPr>
      </w:pPr>
    </w:p>
    <w:p w14:paraId="0BE1A83C" w14:textId="77777777" w:rsidR="008217B1" w:rsidRDefault="008217B1" w:rsidP="006C2750">
      <w:pPr>
        <w:spacing w:after="120" w:line="360" w:lineRule="auto"/>
        <w:jc w:val="center"/>
        <w:rPr>
          <w:rFonts w:ascii="Arial" w:hAnsi="Arial" w:cs="Times New Roman"/>
          <w:szCs w:val="20"/>
          <w:lang w:eastAsia="de-DE"/>
        </w:rPr>
      </w:pPr>
    </w:p>
    <w:p w14:paraId="71287071" w14:textId="77777777" w:rsidR="008217B1" w:rsidRDefault="008217B1" w:rsidP="006C2750">
      <w:pPr>
        <w:spacing w:after="120" w:line="360" w:lineRule="auto"/>
        <w:jc w:val="center"/>
        <w:rPr>
          <w:rFonts w:ascii="Arial" w:hAnsi="Arial" w:cs="Times New Roman"/>
          <w:szCs w:val="20"/>
          <w:lang w:eastAsia="de-DE"/>
        </w:rPr>
      </w:pPr>
    </w:p>
    <w:p w14:paraId="482B9697" w14:textId="6AFFC4A9" w:rsidR="006C2750" w:rsidRPr="0064668F" w:rsidRDefault="006C2750" w:rsidP="006C2750">
      <w:pPr>
        <w:spacing w:after="120" w:line="360" w:lineRule="auto"/>
        <w:jc w:val="center"/>
        <w:rPr>
          <w:rFonts w:ascii="Arial" w:hAnsi="Arial" w:cs="Times New Roman"/>
          <w:szCs w:val="20"/>
          <w:lang w:eastAsia="de-DE"/>
        </w:rPr>
      </w:pPr>
      <w:r w:rsidRPr="0064668F">
        <w:rPr>
          <w:rFonts w:ascii="Arial" w:hAnsi="Arial" w:cs="Times New Roman"/>
          <w:szCs w:val="20"/>
          <w:lang w:eastAsia="de-DE"/>
        </w:rPr>
        <w:t>- Verantwortlicher - nachstehend Auftraggeber genannt -</w:t>
      </w:r>
    </w:p>
    <w:p w14:paraId="4B3D025C" w14:textId="77777777" w:rsidR="00D251D3" w:rsidRDefault="00D251D3" w:rsidP="006C2750">
      <w:pPr>
        <w:spacing w:after="120" w:line="360" w:lineRule="auto"/>
        <w:jc w:val="center"/>
        <w:rPr>
          <w:rFonts w:ascii="Arial" w:hAnsi="Arial" w:cs="Times New Roman"/>
          <w:szCs w:val="20"/>
          <w:lang w:eastAsia="de-DE"/>
        </w:rPr>
      </w:pPr>
    </w:p>
    <w:p w14:paraId="7E9065A6" w14:textId="77777777" w:rsidR="006C2750" w:rsidRPr="0064668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 xml:space="preserve">und </w:t>
      </w:r>
      <w:r w:rsidRPr="0064668F">
        <w:rPr>
          <w:rFonts w:ascii="Arial" w:hAnsi="Arial" w:cs="Times New Roman"/>
          <w:szCs w:val="20"/>
          <w:lang w:eastAsia="de-DE"/>
        </w:rPr>
        <w:t>der</w:t>
      </w:r>
    </w:p>
    <w:p w14:paraId="04989688" w14:textId="77777777" w:rsidR="006C2750" w:rsidRDefault="006B47A4" w:rsidP="006C2750">
      <w:pPr>
        <w:spacing w:after="120" w:line="360" w:lineRule="auto"/>
        <w:jc w:val="center"/>
        <w:rPr>
          <w:rFonts w:ascii="Arial" w:hAnsi="Arial" w:cs="Times New Roman"/>
          <w:b/>
          <w:szCs w:val="24"/>
          <w:lang w:eastAsia="de-DE"/>
        </w:rPr>
      </w:pPr>
      <w:r w:rsidRPr="00E8777F">
        <w:rPr>
          <w:rFonts w:ascii="Arial" w:hAnsi="Arial" w:cs="Times New Roman"/>
          <w:b/>
          <w:szCs w:val="24"/>
          <w:lang w:eastAsia="de-DE"/>
        </w:rPr>
        <w:t>Fa. ANTARES PROJECT GmbH</w:t>
      </w:r>
    </w:p>
    <w:p w14:paraId="6CD39162" w14:textId="77777777" w:rsidR="006267B1" w:rsidRDefault="006267B1" w:rsidP="006C2750">
      <w:pPr>
        <w:spacing w:after="120" w:line="360" w:lineRule="auto"/>
        <w:jc w:val="center"/>
        <w:rPr>
          <w:rFonts w:ascii="Arial" w:hAnsi="Arial" w:cs="Times New Roman"/>
          <w:b/>
          <w:szCs w:val="24"/>
          <w:lang w:eastAsia="de-DE"/>
        </w:rPr>
      </w:pPr>
      <w:r>
        <w:rPr>
          <w:rFonts w:ascii="Arial" w:hAnsi="Arial" w:cs="Times New Roman"/>
          <w:b/>
          <w:szCs w:val="24"/>
          <w:lang w:eastAsia="de-DE"/>
        </w:rPr>
        <w:t>Knooper Weg 107</w:t>
      </w:r>
    </w:p>
    <w:p w14:paraId="0B7D3C5D" w14:textId="77777777" w:rsidR="006267B1" w:rsidRPr="00E8777F" w:rsidRDefault="006267B1" w:rsidP="006C2750">
      <w:pPr>
        <w:spacing w:after="120" w:line="360" w:lineRule="auto"/>
        <w:jc w:val="center"/>
        <w:rPr>
          <w:rFonts w:ascii="Arial" w:hAnsi="Arial" w:cs="Times New Roman"/>
          <w:b/>
          <w:szCs w:val="24"/>
          <w:lang w:eastAsia="de-DE"/>
        </w:rPr>
      </w:pPr>
      <w:r>
        <w:rPr>
          <w:rFonts w:ascii="Arial" w:hAnsi="Arial" w:cs="Times New Roman"/>
          <w:b/>
          <w:szCs w:val="24"/>
          <w:lang w:eastAsia="de-DE"/>
        </w:rPr>
        <w:t>24116 Kiel</w:t>
      </w:r>
    </w:p>
    <w:p w14:paraId="5E8174A7" w14:textId="77777777"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 Auftragsverarbeiter - nachstehend</w:t>
      </w:r>
      <w:r w:rsidRPr="001163EF">
        <w:rPr>
          <w:rFonts w:ascii="Arial" w:hAnsi="Arial" w:cs="Times New Roman"/>
          <w:szCs w:val="24"/>
          <w:lang w:eastAsia="de-DE"/>
        </w:rPr>
        <w:t xml:space="preserve"> Auftragnehmer genannt</w:t>
      </w:r>
    </w:p>
    <w:p w14:paraId="276525B4" w14:textId="77777777" w:rsidR="00E8777F" w:rsidRDefault="00E8777F" w:rsidP="006C2750">
      <w:pPr>
        <w:spacing w:after="120" w:line="360" w:lineRule="auto"/>
        <w:jc w:val="center"/>
        <w:rPr>
          <w:rFonts w:ascii="Arial" w:hAnsi="Arial" w:cs="Times New Roman"/>
          <w:szCs w:val="24"/>
          <w:lang w:eastAsia="de-DE"/>
        </w:rPr>
      </w:pPr>
    </w:p>
    <w:p w14:paraId="6E64279B" w14:textId="77777777" w:rsidR="006C2750" w:rsidRPr="00F16765" w:rsidRDefault="006C2750" w:rsidP="00DC104C">
      <w:pPr>
        <w:pStyle w:val="berschrift2"/>
        <w:rPr>
          <w:b/>
          <w:i/>
          <w:color w:val="000000" w:themeColor="text1"/>
        </w:rPr>
      </w:pPr>
      <w:r w:rsidRPr="00F16765">
        <w:rPr>
          <w:b/>
          <w:color w:val="000000" w:themeColor="text1"/>
        </w:rPr>
        <w:t>1. Gegenstand und Dauer des Auftrags</w:t>
      </w:r>
    </w:p>
    <w:p w14:paraId="13504E83" w14:textId="77777777" w:rsidR="006C2750" w:rsidRPr="00CD43B0" w:rsidRDefault="006C2750" w:rsidP="006C2750">
      <w:pPr>
        <w:pStyle w:val="Textkrper"/>
        <w:spacing w:before="80" w:after="160" w:line="300" w:lineRule="exact"/>
        <w:jc w:val="both"/>
        <w:rPr>
          <w:bCs/>
        </w:rPr>
      </w:pPr>
      <w:r w:rsidRPr="00CD43B0">
        <w:rPr>
          <w:bCs/>
        </w:rPr>
        <w:t>(1) Gegenstand</w:t>
      </w:r>
    </w:p>
    <w:p w14:paraId="0AE0ABF8" w14:textId="02395905" w:rsidR="006C2750" w:rsidRPr="001F436F" w:rsidRDefault="006C2750" w:rsidP="006B47A4">
      <w:pPr>
        <w:pStyle w:val="Textkrper"/>
        <w:autoSpaceDE w:val="0"/>
        <w:autoSpaceDN w:val="0"/>
        <w:spacing w:before="80" w:after="160" w:line="300" w:lineRule="exact"/>
        <w:jc w:val="both"/>
        <w:rPr>
          <w:rFonts w:cs="Arial"/>
        </w:rPr>
      </w:pPr>
      <w:r>
        <w:t xml:space="preserve">Gegenstand des Auftrags zum Datenumgang ist die Durchführung folgender Aufgaben durch den Auftragnehmer: </w:t>
      </w:r>
      <w:r w:rsidR="00400326">
        <w:t xml:space="preserve">Bereitstellung </w:t>
      </w:r>
      <w:r w:rsidR="00225A81">
        <w:t>eines Moduls zur Durchführung von Videokonferenzen</w:t>
      </w:r>
    </w:p>
    <w:p w14:paraId="6831FB4B" w14:textId="77777777" w:rsidR="006C2750" w:rsidRDefault="006C2750" w:rsidP="006C2750">
      <w:pPr>
        <w:pStyle w:val="Textkrper"/>
        <w:tabs>
          <w:tab w:val="num" w:pos="0"/>
        </w:tabs>
        <w:spacing w:before="80" w:after="160" w:line="300" w:lineRule="exact"/>
        <w:jc w:val="both"/>
        <w:rPr>
          <w:u w:val="single"/>
        </w:rPr>
      </w:pPr>
      <w:r>
        <w:rPr>
          <w:rFonts w:cs="Arial"/>
        </w:rPr>
        <w:t>(</w:t>
      </w:r>
      <w:r w:rsidRPr="00CD43B0">
        <w:rPr>
          <w:rFonts w:cs="Arial"/>
        </w:rPr>
        <w:t xml:space="preserve">2) </w:t>
      </w:r>
      <w:r w:rsidRPr="00CD43B0">
        <w:rPr>
          <w:bCs/>
        </w:rPr>
        <w:t>Dauer</w:t>
      </w:r>
    </w:p>
    <w:p w14:paraId="608260E8" w14:textId="76642361" w:rsidR="000346E6" w:rsidRDefault="008D4FB4" w:rsidP="00E64477">
      <w:pPr>
        <w:pStyle w:val="Textkrper-Einzug3"/>
        <w:tabs>
          <w:tab w:val="num" w:pos="426"/>
        </w:tabs>
        <w:spacing w:before="80" w:after="160" w:line="300" w:lineRule="exact"/>
        <w:ind w:left="0"/>
        <w:rPr>
          <w:rFonts w:cs="Arial"/>
          <w:sz w:val="22"/>
        </w:rPr>
      </w:pPr>
      <w:r>
        <w:rPr>
          <w:rFonts w:cs="Arial"/>
          <w:sz w:val="22"/>
        </w:rPr>
        <w:t>Der Auftrag endet am 31.7.2021</w:t>
      </w:r>
      <w:r w:rsidR="00E64477">
        <w:rPr>
          <w:rFonts w:cs="Arial"/>
          <w:sz w:val="22"/>
        </w:rPr>
        <w:t>.</w:t>
      </w:r>
      <w:r w:rsidR="006C2750">
        <w:rPr>
          <w:rFonts w:cs="Arial"/>
          <w:sz w:val="22"/>
        </w:rPr>
        <w:t xml:space="preserve"> Die Möglichkeit zur fristlosen Kündigung bleibt hiervon unberührt. </w:t>
      </w:r>
      <w:r w:rsidR="003A067D">
        <w:rPr>
          <w:rFonts w:cs="Arial"/>
          <w:sz w:val="22"/>
        </w:rPr>
        <w:t xml:space="preserve">Bis zum 31.12.2021 </w:t>
      </w:r>
      <w:r w:rsidR="00B63321">
        <w:rPr>
          <w:rFonts w:cs="Arial"/>
          <w:sz w:val="22"/>
        </w:rPr>
        <w:t xml:space="preserve">erfüllt der Auftragnehmer alle Verpflichtungen, die sich aus dem Auskunftsrecht der Betroffenen ergeben. </w:t>
      </w:r>
      <w:r w:rsidR="00D251D3">
        <w:rPr>
          <w:rFonts w:cs="Arial"/>
          <w:sz w:val="22"/>
        </w:rPr>
        <w:br/>
      </w:r>
    </w:p>
    <w:p w14:paraId="04CC9D5F" w14:textId="77777777" w:rsidR="006C2750" w:rsidRPr="00F16765" w:rsidRDefault="006C2750" w:rsidP="00DC104C">
      <w:pPr>
        <w:pStyle w:val="berschrift2"/>
        <w:rPr>
          <w:b/>
          <w:color w:val="000000" w:themeColor="text1"/>
        </w:rPr>
      </w:pPr>
      <w:r w:rsidRPr="00F16765">
        <w:rPr>
          <w:b/>
          <w:color w:val="000000" w:themeColor="text1"/>
        </w:rPr>
        <w:t>2. Konkretisierung des Auftragsinhalts</w:t>
      </w:r>
    </w:p>
    <w:p w14:paraId="38BDE701" w14:textId="77777777" w:rsidR="006B47A4" w:rsidRDefault="006C2750" w:rsidP="006B47A4">
      <w:pPr>
        <w:pStyle w:val="Textkrper"/>
        <w:spacing w:before="80" w:after="160" w:line="300" w:lineRule="exact"/>
        <w:rPr>
          <w:bCs/>
        </w:rPr>
      </w:pPr>
      <w:r w:rsidRPr="00CD43B0">
        <w:rPr>
          <w:bCs/>
        </w:rPr>
        <w:t xml:space="preserve">(1) Art und Zweck der vorgesehenen Verarbeitung von Daten </w:t>
      </w:r>
    </w:p>
    <w:p w14:paraId="778F8EC2" w14:textId="3909A0D3" w:rsidR="00A243F7" w:rsidRDefault="00581829" w:rsidP="00A243F7">
      <w:pPr>
        <w:pStyle w:val="Textkrper2"/>
        <w:spacing w:after="140" w:line="300" w:lineRule="exact"/>
      </w:pPr>
      <w:r>
        <w:t>Es wird ein Modul für Videokonferenzen bereitgestellt, welches auf der Open-Source-Software BigBlueButton</w:t>
      </w:r>
      <w:r w:rsidR="008025EF">
        <w:t xml:space="preserve"> („BBB“)</w:t>
      </w:r>
      <w:r>
        <w:t xml:space="preserve"> basiert.</w:t>
      </w:r>
      <w:r w:rsidR="001344E4">
        <w:t xml:space="preserve"> Dieses Modul kann über verschiedene Wege aufgerufen werden. U.a.</w:t>
      </w:r>
      <w:r w:rsidR="00B164DA">
        <w:t xml:space="preserve"> durch:</w:t>
      </w:r>
    </w:p>
    <w:p w14:paraId="2B48C59A" w14:textId="36DA6219" w:rsidR="00B164DA" w:rsidRDefault="00B164DA" w:rsidP="00B164DA">
      <w:pPr>
        <w:pStyle w:val="Textkrper2"/>
        <w:numPr>
          <w:ilvl w:val="0"/>
          <w:numId w:val="33"/>
        </w:numPr>
        <w:spacing w:after="140" w:line="300" w:lineRule="exact"/>
      </w:pPr>
      <w:r>
        <w:lastRenderedPageBreak/>
        <w:t>Edupool (Mediathekssoftware der Medienzentren)</w:t>
      </w:r>
    </w:p>
    <w:p w14:paraId="72F21D6A" w14:textId="1B4020F0" w:rsidR="00B164DA" w:rsidRDefault="00B164DA" w:rsidP="00B164DA">
      <w:pPr>
        <w:pStyle w:val="Textkrper2"/>
        <w:numPr>
          <w:ilvl w:val="0"/>
          <w:numId w:val="33"/>
        </w:numPr>
        <w:spacing w:after="140" w:line="300" w:lineRule="exact"/>
      </w:pPr>
      <w:r>
        <w:t>Moodle (Lernmanagementsystem für Schulen)</w:t>
      </w:r>
    </w:p>
    <w:p w14:paraId="063C530F" w14:textId="360EA8D9" w:rsidR="00B164DA" w:rsidRDefault="00B164DA" w:rsidP="00B164DA">
      <w:pPr>
        <w:pStyle w:val="Textkrper2"/>
        <w:numPr>
          <w:ilvl w:val="0"/>
          <w:numId w:val="33"/>
        </w:numPr>
        <w:spacing w:after="140" w:line="300" w:lineRule="exact"/>
      </w:pPr>
      <w:r>
        <w:t xml:space="preserve">Greenlight (Raumverwaltung </w:t>
      </w:r>
      <w:r w:rsidR="00713FC3">
        <w:t>für BigBlueButton)</w:t>
      </w:r>
    </w:p>
    <w:p w14:paraId="44CA636C" w14:textId="77777777" w:rsidR="00C8746A" w:rsidRDefault="00C8746A" w:rsidP="00C8746A">
      <w:pPr>
        <w:shd w:val="clear" w:color="auto" w:fill="FFFFFF"/>
        <w:spacing w:before="100" w:beforeAutospacing="1" w:after="165" w:line="240" w:lineRule="auto"/>
        <w:rPr>
          <w:rFonts w:ascii="Verdana" w:eastAsia="Times New Roman" w:hAnsi="Verdana" w:cs="Times New Roman"/>
          <w:color w:val="333333"/>
          <w:sz w:val="19"/>
          <w:szCs w:val="19"/>
          <w:lang w:eastAsia="de-DE"/>
        </w:rPr>
      </w:pPr>
    </w:p>
    <w:p w14:paraId="55B8E9F2" w14:textId="0AC50E83" w:rsidR="00C8746A" w:rsidRPr="00C652A5" w:rsidRDefault="00C8746A" w:rsidP="00A470E1">
      <w:pPr>
        <w:rPr>
          <w:lang w:eastAsia="de-DE"/>
        </w:rPr>
      </w:pPr>
      <w:r w:rsidRPr="00C652A5">
        <w:rPr>
          <w:lang w:eastAsia="de-DE"/>
        </w:rPr>
        <w:t>Zu den wesentlichen Funktionen von BBB zählen</w:t>
      </w:r>
    </w:p>
    <w:p w14:paraId="31F3D20A" w14:textId="77777777" w:rsidR="00C8746A" w:rsidRPr="00C652A5" w:rsidRDefault="00C8746A" w:rsidP="00A470E1">
      <w:pPr>
        <w:pStyle w:val="Listenabsatz"/>
        <w:numPr>
          <w:ilvl w:val="0"/>
          <w:numId w:val="35"/>
        </w:numPr>
        <w:rPr>
          <w:lang w:eastAsia="de-DE"/>
        </w:rPr>
      </w:pPr>
      <w:r w:rsidRPr="00C652A5">
        <w:rPr>
          <w:lang w:eastAsia="de-DE"/>
        </w:rPr>
        <w:t>Anbieten von Konferenzräumen mitsamt Breakout-Räumen</w:t>
      </w:r>
    </w:p>
    <w:p w14:paraId="71CD9D66" w14:textId="77777777" w:rsidR="00C8746A" w:rsidRPr="00CE40DB" w:rsidRDefault="00C8746A" w:rsidP="00A470E1">
      <w:pPr>
        <w:pStyle w:val="Listenabsatz"/>
        <w:numPr>
          <w:ilvl w:val="0"/>
          <w:numId w:val="35"/>
        </w:numPr>
        <w:rPr>
          <w:lang w:eastAsia="de-DE"/>
        </w:rPr>
      </w:pPr>
      <w:r w:rsidRPr="00C652A5">
        <w:rPr>
          <w:lang w:eastAsia="de-DE"/>
        </w:rPr>
        <w:t>Übertragung von Ton, Bildschirminhalten, Dateiinhalten und Video im Rahmen einer Konferenz</w:t>
      </w:r>
    </w:p>
    <w:p w14:paraId="781C551A" w14:textId="77777777" w:rsidR="00C8746A" w:rsidRPr="00C652A5" w:rsidRDefault="00C8746A" w:rsidP="00A470E1">
      <w:pPr>
        <w:pStyle w:val="Listenabsatz"/>
        <w:numPr>
          <w:ilvl w:val="0"/>
          <w:numId w:val="35"/>
        </w:numPr>
        <w:rPr>
          <w:lang w:eastAsia="de-DE"/>
        </w:rPr>
      </w:pPr>
      <w:r w:rsidRPr="00C652A5">
        <w:rPr>
          <w:lang w:eastAsia="de-DE"/>
        </w:rPr>
        <w:t>Erstellen und Teilen von Notizen während einer Videokonferenz</w:t>
      </w:r>
    </w:p>
    <w:p w14:paraId="71F9BACE" w14:textId="77777777" w:rsidR="00C8746A" w:rsidRPr="00C652A5" w:rsidRDefault="00C8746A" w:rsidP="00A470E1">
      <w:pPr>
        <w:pStyle w:val="Listenabsatz"/>
        <w:numPr>
          <w:ilvl w:val="0"/>
          <w:numId w:val="35"/>
        </w:numPr>
        <w:rPr>
          <w:lang w:eastAsia="de-DE"/>
        </w:rPr>
      </w:pPr>
      <w:r w:rsidRPr="00C652A5">
        <w:rPr>
          <w:lang w:eastAsia="de-DE"/>
        </w:rPr>
        <w:t>Textueller Nachrichtenaustausch während einer Videokonferenz</w:t>
      </w:r>
    </w:p>
    <w:p w14:paraId="1480747D" w14:textId="77777777" w:rsidR="00C8746A" w:rsidRPr="00C652A5" w:rsidRDefault="00C8746A" w:rsidP="00A470E1">
      <w:pPr>
        <w:pStyle w:val="Listenabsatz"/>
        <w:numPr>
          <w:ilvl w:val="0"/>
          <w:numId w:val="35"/>
        </w:numPr>
        <w:rPr>
          <w:lang w:eastAsia="de-DE"/>
        </w:rPr>
      </w:pPr>
      <w:r w:rsidRPr="00C652A5">
        <w:rPr>
          <w:lang w:eastAsia="de-DE"/>
        </w:rPr>
        <w:t>Anzeigen eines Whiteboards für gemeinsame inhaltliche Arbeiten</w:t>
      </w:r>
    </w:p>
    <w:p w14:paraId="1F01986F" w14:textId="77777777" w:rsidR="00C8746A" w:rsidRPr="00C652A5" w:rsidRDefault="00C8746A" w:rsidP="00A470E1">
      <w:pPr>
        <w:rPr>
          <w:lang w:eastAsia="de-DE"/>
        </w:rPr>
      </w:pPr>
      <w:r w:rsidRPr="00C652A5">
        <w:rPr>
          <w:lang w:eastAsia="de-DE"/>
        </w:rPr>
        <w:t>Teilnehmer/innen einer Videokonferenz sind Personen, die an einer Videokonferenz teilnehmen. Sie können ihre Videokamera aktivieren, den Chat verwenden und Stimme übertragen. Sie können Inhalte des/der Moderators/in</w:t>
      </w:r>
      <w:r>
        <w:rPr>
          <w:lang w:eastAsia="de-DE"/>
        </w:rPr>
        <w:t xml:space="preserve"> (in der Regel die Lehrkraft)</w:t>
      </w:r>
      <w:r w:rsidRPr="00C652A5">
        <w:rPr>
          <w:lang w:eastAsia="de-DE"/>
        </w:rPr>
        <w:t xml:space="preserve"> anschauen.</w:t>
      </w:r>
    </w:p>
    <w:p w14:paraId="1B419692" w14:textId="77777777" w:rsidR="00C8746A" w:rsidRPr="00C652A5" w:rsidRDefault="00C8746A" w:rsidP="00A470E1">
      <w:pPr>
        <w:rPr>
          <w:lang w:eastAsia="de-DE"/>
        </w:rPr>
      </w:pPr>
      <w:r w:rsidRPr="00C652A5">
        <w:rPr>
          <w:lang w:eastAsia="de-DE"/>
        </w:rPr>
        <w:t>Moderator/innen leiten eine Videokonferenz und präsentieren Inhalte. Sie können ihre Videokamera aktiveren und Teilnehmer/innen verwalten (z.B. stummschalten, zur Konferenz zulassen, aus einer Konferenz entfernen).</w:t>
      </w:r>
    </w:p>
    <w:p w14:paraId="6B7061CC" w14:textId="77777777" w:rsidR="00713FC3" w:rsidRDefault="00713FC3" w:rsidP="00713FC3">
      <w:pPr>
        <w:pStyle w:val="Textkrper2"/>
        <w:spacing w:after="140" w:line="300" w:lineRule="exact"/>
      </w:pPr>
    </w:p>
    <w:p w14:paraId="59648FE0" w14:textId="77777777" w:rsidR="00C569A1" w:rsidRDefault="006C2750" w:rsidP="00A243F7">
      <w:pPr>
        <w:pStyle w:val="Textkrper2"/>
        <w:spacing w:after="140" w:line="300" w:lineRule="exact"/>
        <w:rPr>
          <w:rFonts w:cs="Arial"/>
        </w:rPr>
      </w:pPr>
      <w:r>
        <w:rPr>
          <w:rFonts w:cs="Arial"/>
        </w:rPr>
        <w:t xml:space="preserve">Die Erbringung der vertraglich vereinbarten Datenverarbeitung findet ausschließlich in einem Mitgliedsstaat der Europäischen Union oder in einem anderen Vertragsstaat des Abkommens über den Europäischen Wirtschaftsraum statt. </w:t>
      </w:r>
    </w:p>
    <w:p w14:paraId="01F077B2" w14:textId="77777777" w:rsidR="006B47A4" w:rsidRPr="00A243F7" w:rsidRDefault="006C2750" w:rsidP="00A243F7">
      <w:pPr>
        <w:pStyle w:val="Textkrper2"/>
        <w:spacing w:after="140" w:line="300" w:lineRule="exact"/>
      </w:pPr>
      <w:r>
        <w:rPr>
          <w:rFonts w:cs="Arial"/>
        </w:rPr>
        <w:t xml:space="preserve">Jede Verlagerung in ein Drittland bedarf der vorherigen Zustimmung des Auftraggebers und darf nur erfolgen, wenn die besonderen Voraussetzungen der </w:t>
      </w:r>
      <w:r w:rsidR="009D0731">
        <w:rPr>
          <w:rFonts w:cs="Arial"/>
        </w:rPr>
        <w:t>Art.</w:t>
      </w:r>
      <w:r>
        <w:rPr>
          <w:rFonts w:cs="Arial"/>
        </w:rPr>
        <w:t xml:space="preserve"> 44 ff. DS-GVO</w:t>
      </w:r>
      <w:r>
        <w:rPr>
          <w:rStyle w:val="Kommentarzeichen"/>
        </w:rPr>
        <w:t xml:space="preserve"> </w:t>
      </w:r>
      <w:r>
        <w:rPr>
          <w:rFonts w:cs="Arial"/>
        </w:rPr>
        <w:t>erfüllt sind. Das angemessene Schutznivea</w:t>
      </w:r>
      <w:r w:rsidR="006B47A4">
        <w:rPr>
          <w:rFonts w:cs="Arial"/>
        </w:rPr>
        <w:t xml:space="preserve">u wird hergestellt durch </w:t>
      </w:r>
      <w:r w:rsidR="006B47A4" w:rsidRPr="001F436F">
        <w:rPr>
          <w:rFonts w:cs="Arial"/>
        </w:rPr>
        <w:t>verbindliche interne Datenschut</w:t>
      </w:r>
      <w:r w:rsidR="006B47A4">
        <w:rPr>
          <w:rFonts w:cs="Arial"/>
        </w:rPr>
        <w:t>zvorschriften (</w:t>
      </w:r>
      <w:r w:rsidR="00E8777F">
        <w:rPr>
          <w:rFonts w:cs="Arial"/>
        </w:rPr>
        <w:t xml:space="preserve">gemäß </w:t>
      </w:r>
      <w:r w:rsidR="009D0731">
        <w:rPr>
          <w:rFonts w:cs="Arial"/>
        </w:rPr>
        <w:t>Art.</w:t>
      </w:r>
      <w:r w:rsidR="006B47A4">
        <w:rPr>
          <w:rFonts w:cs="Arial"/>
        </w:rPr>
        <w:t xml:space="preserve"> 46 Abs. 2 lit. b i.V.m. 47 DS-GVO)</w:t>
      </w:r>
      <w:r w:rsidR="00E8777F">
        <w:rPr>
          <w:rFonts w:cs="Arial"/>
        </w:rPr>
        <w:t>.</w:t>
      </w:r>
    </w:p>
    <w:p w14:paraId="012C89B0" w14:textId="77777777" w:rsidR="006C2750" w:rsidRPr="00CD43B0" w:rsidRDefault="006C2750" w:rsidP="006C2750">
      <w:pPr>
        <w:spacing w:before="80" w:line="300" w:lineRule="exact"/>
        <w:rPr>
          <w:rFonts w:cs="Arial"/>
          <w:bCs/>
        </w:rPr>
      </w:pPr>
      <w:r w:rsidRPr="00CD43B0">
        <w:rPr>
          <w:rFonts w:cs="Arial"/>
          <w:bCs/>
        </w:rPr>
        <w:t xml:space="preserve">(2) Art der Daten </w:t>
      </w:r>
    </w:p>
    <w:p w14:paraId="24AAC3E3" w14:textId="77777777" w:rsidR="006C2750" w:rsidRDefault="006C2750" w:rsidP="00E8777F">
      <w:pPr>
        <w:pStyle w:val="Textkrper"/>
        <w:autoSpaceDE w:val="0"/>
        <w:autoSpaceDN w:val="0"/>
        <w:spacing w:before="80" w:after="160" w:line="300" w:lineRule="exact"/>
        <w:jc w:val="both"/>
        <w:rPr>
          <w:rFonts w:cs="Arial"/>
        </w:rPr>
      </w:pPr>
      <w:r>
        <w:rPr>
          <w:rFonts w:cs="Arial"/>
        </w:rPr>
        <w:t>Gegenstand der Verarbeitung personenbezogener Daten sind folgende Datenarten/-kategorien</w:t>
      </w:r>
      <w:r w:rsidR="00B76076">
        <w:rPr>
          <w:rFonts w:cs="Arial"/>
        </w:rPr>
        <w:t>:</w:t>
      </w:r>
    </w:p>
    <w:p w14:paraId="4629A69D" w14:textId="77777777" w:rsidR="00A243F7" w:rsidRDefault="00A243F7" w:rsidP="00A243F7">
      <w:pPr>
        <w:pStyle w:val="Textkrper"/>
        <w:numPr>
          <w:ilvl w:val="0"/>
          <w:numId w:val="27"/>
        </w:numPr>
        <w:autoSpaceDE w:val="0"/>
        <w:autoSpaceDN w:val="0"/>
        <w:spacing w:after="0" w:line="240" w:lineRule="auto"/>
        <w:jc w:val="both"/>
      </w:pPr>
      <w:r>
        <w:t>Emailadressen</w:t>
      </w:r>
    </w:p>
    <w:p w14:paraId="46E9A2D9" w14:textId="77777777" w:rsidR="00A243F7" w:rsidRDefault="00A243F7" w:rsidP="00A243F7">
      <w:pPr>
        <w:pStyle w:val="Textkrper"/>
        <w:numPr>
          <w:ilvl w:val="0"/>
          <w:numId w:val="27"/>
        </w:numPr>
        <w:autoSpaceDE w:val="0"/>
        <w:autoSpaceDN w:val="0"/>
        <w:spacing w:after="0" w:line="240" w:lineRule="auto"/>
        <w:jc w:val="both"/>
      </w:pPr>
      <w:r>
        <w:t>IP-Adressen der Nutzer</w:t>
      </w:r>
    </w:p>
    <w:p w14:paraId="0C193DD8" w14:textId="77777777" w:rsidR="00CC6979" w:rsidRDefault="00CC6979" w:rsidP="00A243F7">
      <w:pPr>
        <w:pStyle w:val="Textkrper"/>
        <w:numPr>
          <w:ilvl w:val="0"/>
          <w:numId w:val="27"/>
        </w:numPr>
        <w:autoSpaceDE w:val="0"/>
        <w:autoSpaceDN w:val="0"/>
        <w:spacing w:after="0" w:line="240" w:lineRule="auto"/>
        <w:jc w:val="both"/>
      </w:pPr>
      <w:r>
        <w:t xml:space="preserve">Zugehörigkeit </w:t>
      </w:r>
      <w:r w:rsidR="006B47A4">
        <w:t xml:space="preserve">von Personen </w:t>
      </w:r>
      <w:r>
        <w:t>zu Institutionen/Schulen</w:t>
      </w:r>
    </w:p>
    <w:p w14:paraId="3F66473C" w14:textId="77777777" w:rsidR="00A243F7" w:rsidRDefault="00A243F7" w:rsidP="00A243F7">
      <w:pPr>
        <w:pStyle w:val="Textkrper"/>
        <w:autoSpaceDE w:val="0"/>
        <w:autoSpaceDN w:val="0"/>
        <w:spacing w:after="0" w:line="240" w:lineRule="auto"/>
        <w:ind w:left="720"/>
        <w:jc w:val="both"/>
      </w:pPr>
    </w:p>
    <w:p w14:paraId="51C79260" w14:textId="77777777" w:rsidR="006C2750" w:rsidRDefault="006C2750" w:rsidP="00A243F7">
      <w:pPr>
        <w:pStyle w:val="Textkrper"/>
        <w:spacing w:after="0" w:line="240" w:lineRule="auto"/>
      </w:pPr>
      <w:r w:rsidRPr="00CD43B0">
        <w:t xml:space="preserve">(3) </w:t>
      </w:r>
      <w:r w:rsidR="006B47A4">
        <w:t>D</w:t>
      </w:r>
      <w:r>
        <w:t>ie Kategorien der durch die Verarbeitung betroffenen Personen umfassen:</w:t>
      </w:r>
      <w:r w:rsidR="00A243F7">
        <w:br/>
      </w:r>
    </w:p>
    <w:p w14:paraId="3DBB6315" w14:textId="2CF065EF" w:rsidR="00CC6979" w:rsidRDefault="00AD1AED" w:rsidP="00E8777F">
      <w:pPr>
        <w:pStyle w:val="Textkrper"/>
        <w:numPr>
          <w:ilvl w:val="0"/>
          <w:numId w:val="27"/>
        </w:numPr>
        <w:autoSpaceDE w:val="0"/>
        <w:autoSpaceDN w:val="0"/>
        <w:spacing w:after="0" w:line="240" w:lineRule="auto"/>
        <w:jc w:val="both"/>
      </w:pPr>
      <w:r>
        <w:t>Mitarbeiter der Medienzentren</w:t>
      </w:r>
    </w:p>
    <w:p w14:paraId="1D8340FE" w14:textId="046EDEAD" w:rsidR="00AD1AED" w:rsidRDefault="00AD1AED" w:rsidP="00E8777F">
      <w:pPr>
        <w:pStyle w:val="Textkrper"/>
        <w:numPr>
          <w:ilvl w:val="0"/>
          <w:numId w:val="27"/>
        </w:numPr>
        <w:autoSpaceDE w:val="0"/>
        <w:autoSpaceDN w:val="0"/>
        <w:spacing w:after="0" w:line="240" w:lineRule="auto"/>
        <w:jc w:val="both"/>
      </w:pPr>
      <w:r>
        <w:t>Schul-Administratoren</w:t>
      </w:r>
    </w:p>
    <w:p w14:paraId="2C61443A" w14:textId="371838BA" w:rsidR="00AD1AED" w:rsidRDefault="00AD1AED" w:rsidP="00E8777F">
      <w:pPr>
        <w:pStyle w:val="Textkrper"/>
        <w:numPr>
          <w:ilvl w:val="0"/>
          <w:numId w:val="27"/>
        </w:numPr>
        <w:autoSpaceDE w:val="0"/>
        <w:autoSpaceDN w:val="0"/>
        <w:spacing w:after="0" w:line="240" w:lineRule="auto"/>
        <w:jc w:val="both"/>
      </w:pPr>
      <w:r>
        <w:t>Schüler</w:t>
      </w:r>
      <w:r w:rsidR="00231EC6">
        <w:t>innen und</w:t>
      </w:r>
      <w:r w:rsidR="005A7222">
        <w:t xml:space="preserve"> Schüler</w:t>
      </w:r>
    </w:p>
    <w:p w14:paraId="37450E43" w14:textId="753C74ED" w:rsidR="007E5A48" w:rsidRDefault="007E5A48" w:rsidP="00E8777F">
      <w:pPr>
        <w:pStyle w:val="Textkrper"/>
        <w:numPr>
          <w:ilvl w:val="0"/>
          <w:numId w:val="27"/>
        </w:numPr>
        <w:autoSpaceDE w:val="0"/>
        <w:autoSpaceDN w:val="0"/>
        <w:spacing w:after="0" w:line="240" w:lineRule="auto"/>
        <w:jc w:val="both"/>
      </w:pPr>
      <w:r>
        <w:t>Lehrkräfte</w:t>
      </w:r>
    </w:p>
    <w:p w14:paraId="2B5EAD52" w14:textId="640BD7ED" w:rsidR="007E5A48" w:rsidRDefault="007E5A48" w:rsidP="00E8777F">
      <w:pPr>
        <w:pStyle w:val="Textkrper"/>
        <w:numPr>
          <w:ilvl w:val="0"/>
          <w:numId w:val="27"/>
        </w:numPr>
        <w:autoSpaceDE w:val="0"/>
        <w:autoSpaceDN w:val="0"/>
        <w:spacing w:after="0" w:line="240" w:lineRule="auto"/>
        <w:jc w:val="both"/>
      </w:pPr>
      <w:r>
        <w:t>Eltern</w:t>
      </w:r>
    </w:p>
    <w:p w14:paraId="58D4E289" w14:textId="77777777" w:rsidR="006B47A4" w:rsidRDefault="006B47A4" w:rsidP="00DC104C">
      <w:pPr>
        <w:pStyle w:val="berschrift2"/>
      </w:pPr>
    </w:p>
    <w:p w14:paraId="7A038DAA" w14:textId="77777777" w:rsidR="006C2750" w:rsidRPr="00F16765" w:rsidRDefault="006C2750" w:rsidP="00DC104C">
      <w:pPr>
        <w:pStyle w:val="berschrift2"/>
        <w:rPr>
          <w:b/>
          <w:color w:val="000000" w:themeColor="text1"/>
        </w:rPr>
      </w:pPr>
      <w:r w:rsidRPr="00F16765">
        <w:rPr>
          <w:b/>
          <w:color w:val="000000" w:themeColor="text1"/>
        </w:rPr>
        <w:t>3. Technisch-organisatorische Maßnahmen</w:t>
      </w:r>
    </w:p>
    <w:p w14:paraId="755EA22C" w14:textId="77777777" w:rsidR="00E8777F" w:rsidRDefault="00E8777F" w:rsidP="000346E6">
      <w:pPr>
        <w:spacing w:after="0"/>
        <w:jc w:val="both"/>
      </w:pPr>
    </w:p>
    <w:p w14:paraId="4A807615" w14:textId="77777777" w:rsidR="006C2750" w:rsidRPr="0064668F" w:rsidRDefault="006C2750" w:rsidP="00A243F7">
      <w:pPr>
        <w:spacing w:after="0"/>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 xml:space="preserve">es Auftrags. Soweit die Prüfung/ein Audit des </w:t>
      </w:r>
      <w:r w:rsidR="00A243F7">
        <w:rPr>
          <w:szCs w:val="20"/>
        </w:rPr>
        <w:t>A</w:t>
      </w:r>
      <w:r>
        <w:rPr>
          <w:szCs w:val="20"/>
        </w:rPr>
        <w:t>uftraggebers</w:t>
      </w:r>
      <w:r w:rsidRPr="0064668F">
        <w:rPr>
          <w:szCs w:val="20"/>
        </w:rPr>
        <w:t xml:space="preserve"> einen Anpassungsbedarf ergibt ist dieser einvernehmlich umzusetzen.</w:t>
      </w:r>
    </w:p>
    <w:p w14:paraId="3D3EE676" w14:textId="77777777" w:rsidR="00E8777F" w:rsidRDefault="00E8777F" w:rsidP="00A243F7">
      <w:pPr>
        <w:spacing w:after="0"/>
        <w:rPr>
          <w:rFonts w:cs="Arial"/>
        </w:rPr>
      </w:pPr>
    </w:p>
    <w:p w14:paraId="311C06BF" w14:textId="77777777" w:rsidR="008110F5" w:rsidRDefault="006C2750" w:rsidP="008110F5">
      <w:pPr>
        <w:spacing w:after="0"/>
        <w:rPr>
          <w:rFonts w:cs="Arial"/>
        </w:rPr>
      </w:pPr>
      <w:r>
        <w:rPr>
          <w:rFonts w:cs="Arial"/>
        </w:rPr>
        <w:t xml:space="preserve">(2) </w:t>
      </w:r>
      <w:r w:rsidRPr="0064668F">
        <w:rPr>
          <w:rFonts w:cs="Arial"/>
        </w:rPr>
        <w:t xml:space="preserve">Der Auftragnehmer hat die Sicherheit gem. </w:t>
      </w:r>
      <w:r w:rsidR="009D0731">
        <w:rPr>
          <w:rFonts w:cs="Arial"/>
        </w:rPr>
        <w:t>Art.</w:t>
      </w:r>
      <w:r w:rsidRPr="0064668F">
        <w:rPr>
          <w:rFonts w:cs="Arial"/>
        </w:rPr>
        <w:t xml:space="preserve"> 28 Abs. 3 </w:t>
      </w:r>
      <w:r>
        <w:rPr>
          <w:rFonts w:cs="Arial"/>
        </w:rPr>
        <w:t>lit. c</w:t>
      </w:r>
      <w:r w:rsidRPr="0064668F">
        <w:rPr>
          <w:rFonts w:cs="Arial"/>
        </w:rPr>
        <w:t>, 32 DS</w:t>
      </w:r>
      <w:r>
        <w:rPr>
          <w:rFonts w:cs="Arial"/>
        </w:rPr>
        <w:t>-</w:t>
      </w:r>
      <w:r w:rsidRPr="0064668F">
        <w:rPr>
          <w:rFonts w:cs="Arial"/>
        </w:rPr>
        <w:t>GVO insbesondere in Verbindung mit Art. 5 Abs. 1, Abs. 2 DS</w:t>
      </w:r>
      <w:r>
        <w:rPr>
          <w:rFonts w:cs="Arial"/>
        </w:rPr>
        <w:t>-</w:t>
      </w:r>
      <w:r w:rsidRPr="0064668F">
        <w:rPr>
          <w:rFonts w:cs="Arial"/>
        </w:rPr>
        <w:t>GVO herzustellen.</w:t>
      </w:r>
      <w:r>
        <w:rPr>
          <w:rFonts w:cs="Arial"/>
        </w:rPr>
        <w:t xml:space="preserve"> </w:t>
      </w:r>
      <w:r w:rsidRPr="0064668F">
        <w:rPr>
          <w:rFonts w:cs="Arial"/>
        </w:rPr>
        <w:t xml:space="preserve">Insgesamt handelt es sich bei den zu treffenden Maßnahmen um </w:t>
      </w:r>
      <w:r>
        <w:rPr>
          <w:rFonts w:cs="Arial"/>
        </w:rPr>
        <w:t xml:space="preserve">Maßnahmen </w:t>
      </w:r>
      <w:r w:rsidRPr="0064668F">
        <w:rPr>
          <w:rFonts w:cs="Arial"/>
        </w:rPr>
        <w:t>der Datensicherheit und zur Gewährleistung eines dem Risiko angemessenen Schutzniveaus hinsichtlich der Vertraulichkeit, der Integrität, der Verfügbarkeit sowie der Belast</w:t>
      </w:r>
      <w:r>
        <w:rPr>
          <w:rFonts w:cs="Arial"/>
        </w:rPr>
        <w:t>barkeit der Systeme.</w:t>
      </w:r>
      <w:r w:rsidRPr="0064668F">
        <w:rPr>
          <w:rFonts w:cs="Arial"/>
        </w:rPr>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DS</w:t>
      </w:r>
      <w:r>
        <w:rPr>
          <w:rFonts w:cs="Arial"/>
        </w:rPr>
        <w:t>-</w:t>
      </w:r>
      <w:r w:rsidRPr="0064668F">
        <w:rPr>
          <w:rFonts w:cs="Arial"/>
        </w:rPr>
        <w:t>GVO zu berücksichtigen.</w:t>
      </w:r>
    </w:p>
    <w:p w14:paraId="1B3BAAFA" w14:textId="77777777" w:rsidR="008110F5" w:rsidRDefault="008110F5" w:rsidP="008110F5">
      <w:pPr>
        <w:spacing w:after="0"/>
        <w:rPr>
          <w:rFonts w:cs="Arial"/>
        </w:rPr>
      </w:pPr>
    </w:p>
    <w:p w14:paraId="5B1AE746" w14:textId="77777777" w:rsidR="006C2750" w:rsidRDefault="006C2750" w:rsidP="008110F5">
      <w:pPr>
        <w:spacing w:after="0"/>
        <w:rPr>
          <w:rFonts w:cs="Arial"/>
        </w:rPr>
      </w:pPr>
      <w:r>
        <w:rPr>
          <w:rFonts w:cs="Arial"/>
        </w:rPr>
        <w:t xml:space="preserve">(3) </w:t>
      </w:r>
      <w:r w:rsidRPr="006227BB">
        <w:rPr>
          <w:rFonts w:cs="Arial"/>
        </w:rPr>
        <w:t>Die technischen und organisatorischen Maßnahmen unterliegen dem technischen Fortschritt und der Weiterentwicklung.</w:t>
      </w:r>
      <w:r>
        <w:t xml:space="preserve"> </w:t>
      </w:r>
      <w:r w:rsidRPr="006227BB">
        <w:rPr>
          <w:rFonts w:cs="Arial"/>
        </w:rPr>
        <w:t>Insoweit ist es d</w:t>
      </w:r>
      <w:r w:rsidRPr="0064668F">
        <w:rPr>
          <w:rFonts w:cs="Arial"/>
        </w:rPr>
        <w:t>em Auftragnehmer gestattet, alternative adäquate Maßnahmen umzusetzen. Dabei darf das Sicherheitsniveau der festgelegten Maßnahmen nicht unterschritten werden. Wesentliche Änderungen sind zu dokumentieren.</w:t>
      </w:r>
    </w:p>
    <w:p w14:paraId="322759F2" w14:textId="77777777" w:rsidR="006C2750" w:rsidRPr="005000D0" w:rsidRDefault="00E8777F" w:rsidP="00A243F7">
      <w:pPr>
        <w:pStyle w:val="berschrift2"/>
      </w:pPr>
      <w:r>
        <w:br/>
      </w:r>
      <w:r w:rsidR="006C2750" w:rsidRPr="00F16765">
        <w:rPr>
          <w:b/>
          <w:color w:val="000000" w:themeColor="text1"/>
        </w:rPr>
        <w:t>4. Berichtigung, Einschränkung und Löschung von Daten</w:t>
      </w:r>
    </w:p>
    <w:p w14:paraId="2AB279DF" w14:textId="77777777" w:rsidR="00E8777F" w:rsidRDefault="00E8777F" w:rsidP="00A243F7">
      <w:pPr>
        <w:spacing w:after="0"/>
      </w:pPr>
    </w:p>
    <w:p w14:paraId="1BFA3B80" w14:textId="77777777" w:rsidR="006C2750" w:rsidRDefault="006C2750" w:rsidP="00A243F7">
      <w:pPr>
        <w:spacing w:after="0"/>
      </w:pPr>
      <w:r>
        <w:t xml:space="preserve">Der Auftragnehmer darf die Daten, die im Auftrag verarbeitet werden, nicht </w:t>
      </w:r>
      <w:r w:rsidR="00FB3BCA">
        <w:t>eigenmächtig,</w:t>
      </w:r>
      <w: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69C96F05" w14:textId="77777777" w:rsidR="006C2750" w:rsidRDefault="006C2750" w:rsidP="00A243F7"/>
    <w:p w14:paraId="6FB504A1" w14:textId="77777777" w:rsidR="006C2750" w:rsidRPr="00F16765" w:rsidRDefault="006C2750" w:rsidP="00A243F7">
      <w:pPr>
        <w:pStyle w:val="berschrift2"/>
        <w:rPr>
          <w:b/>
          <w:color w:val="000000" w:themeColor="text1"/>
        </w:rPr>
      </w:pPr>
      <w:r w:rsidRPr="00F16765">
        <w:rPr>
          <w:b/>
          <w:color w:val="000000" w:themeColor="text1"/>
        </w:rPr>
        <w:t>5. Qualitätssicherung und sonstige Pflichten des Auftragnehmers</w:t>
      </w:r>
    </w:p>
    <w:p w14:paraId="0E7F9152" w14:textId="77777777" w:rsidR="00463B3B" w:rsidRPr="00463B3B" w:rsidRDefault="00E8777F" w:rsidP="00A243F7">
      <w:pPr>
        <w:rPr>
          <w:rFonts w:cs="Arial"/>
        </w:rPr>
      </w:pPr>
      <w:r>
        <w:rPr>
          <w:rFonts w:cs="Arial"/>
        </w:rPr>
        <w:br/>
      </w:r>
      <w:r w:rsidR="006C2750">
        <w:rPr>
          <w:rFonts w:cs="Arial"/>
        </w:rPr>
        <w:t xml:space="preserve">Der </w:t>
      </w:r>
      <w:r w:rsidR="006C2750">
        <w:rPr>
          <w:rFonts w:ascii="Calibri" w:hAnsi="Calibri" w:cs="Arial"/>
        </w:rPr>
        <w:t>Auftragnehmer</w:t>
      </w:r>
      <w:r w:rsidR="006C2750" w:rsidRPr="005000D0">
        <w:rPr>
          <w:rFonts w:cs="Arial"/>
        </w:rPr>
        <w:t xml:space="preserve"> hat zusätzlich zu der Einhaltung der Regelungen dieses Auftrags gesetzliche Pflichten gemäß </w:t>
      </w:r>
      <w:r w:rsidR="009D0731">
        <w:rPr>
          <w:rFonts w:cs="Arial"/>
        </w:rPr>
        <w:t>Art.</w:t>
      </w:r>
      <w:r w:rsidR="006C2750" w:rsidRPr="005000D0">
        <w:rPr>
          <w:rFonts w:cs="Arial"/>
        </w:rPr>
        <w:t xml:space="preserve"> 28 bis 33 </w:t>
      </w:r>
      <w:r w:rsidR="006C2750">
        <w:rPr>
          <w:rFonts w:cs="Arial"/>
        </w:rPr>
        <w:t>DS-GVO</w:t>
      </w:r>
      <w:r w:rsidR="006C2750" w:rsidRPr="005000D0">
        <w:rPr>
          <w:rFonts w:cs="Arial"/>
        </w:rPr>
        <w:t>; insofern gewährleistet er insbesondere die Einhaltung folgender Vorgaben</w:t>
      </w:r>
      <w:r w:rsidR="00463B3B" w:rsidRPr="00463B3B">
        <w:rPr>
          <w:rFonts w:cs="Arial"/>
        </w:rPr>
        <w:t>:</w:t>
      </w:r>
    </w:p>
    <w:p w14:paraId="4EF6C1F1" w14:textId="77777777" w:rsidR="009D0731" w:rsidRDefault="00463B3B" w:rsidP="0061390A">
      <w:pPr>
        <w:pStyle w:val="Listenabsatz"/>
        <w:numPr>
          <w:ilvl w:val="0"/>
          <w:numId w:val="29"/>
        </w:numPr>
        <w:spacing w:after="0"/>
        <w:rPr>
          <w:bCs/>
        </w:rPr>
      </w:pPr>
      <w:r w:rsidRPr="008110F5">
        <w:rPr>
          <w:rFonts w:cs="Arial"/>
        </w:rPr>
        <w:t xml:space="preserve">Schriftliche Bestellung eines Datenschutzbeauftragten, der seine Tätigkeit gemäß Art. 38 und 39 DS-GVO ausübt. </w:t>
      </w:r>
      <w:r w:rsidR="006C2750" w:rsidRPr="008110F5">
        <w:rPr>
          <w:bCs/>
        </w:rPr>
        <w:t>Als Datenschutzbeauftragter ist beim Auftragnehmer Herr</w:t>
      </w:r>
      <w:r w:rsidR="006B47A4" w:rsidRPr="008110F5">
        <w:rPr>
          <w:bCs/>
        </w:rPr>
        <w:t xml:space="preserve"> Kurt Geisler</w:t>
      </w:r>
      <w:r w:rsidR="006C2750" w:rsidRPr="008110F5">
        <w:rPr>
          <w:bCs/>
        </w:rPr>
        <w:t>,</w:t>
      </w:r>
      <w:r w:rsidR="006B47A4" w:rsidRPr="008110F5">
        <w:rPr>
          <w:bCs/>
        </w:rPr>
        <w:t xml:space="preserve"> Fa. Antares Project</w:t>
      </w:r>
      <w:r w:rsidR="006C2750" w:rsidRPr="008110F5">
        <w:rPr>
          <w:bCs/>
        </w:rPr>
        <w:t>,</w:t>
      </w:r>
      <w:r w:rsidR="006B47A4" w:rsidRPr="008110F5">
        <w:rPr>
          <w:bCs/>
        </w:rPr>
        <w:t xml:space="preserve"> 0431-61643</w:t>
      </w:r>
      <w:r w:rsidR="006C2750" w:rsidRPr="008110F5">
        <w:rPr>
          <w:bCs/>
        </w:rPr>
        <w:t>,</w:t>
      </w:r>
      <w:r w:rsidR="006B47A4" w:rsidRPr="008110F5">
        <w:rPr>
          <w:bCs/>
        </w:rPr>
        <w:t xml:space="preserve"> kurt@antares.net</w:t>
      </w:r>
      <w:r w:rsidR="006C2750" w:rsidRPr="008110F5">
        <w:rPr>
          <w:bCs/>
        </w:rPr>
        <w:t xml:space="preserve"> bestellt. Ein Wechsel des Datenschutzbeauftragten </w:t>
      </w:r>
      <w:r w:rsidR="006B47A4" w:rsidRPr="008110F5">
        <w:rPr>
          <w:bCs/>
        </w:rPr>
        <w:t>wird</w:t>
      </w:r>
      <w:r w:rsidR="006C2750" w:rsidRPr="008110F5">
        <w:rPr>
          <w:bCs/>
        </w:rPr>
        <w:t xml:space="preserve"> dem Auftraggeber unverzüglich mit</w:t>
      </w:r>
      <w:r w:rsidR="006B47A4" w:rsidRPr="008110F5">
        <w:rPr>
          <w:bCs/>
        </w:rPr>
        <w:t>ge</w:t>
      </w:r>
      <w:r w:rsidR="006C2750" w:rsidRPr="008110F5">
        <w:rPr>
          <w:bCs/>
        </w:rPr>
        <w:t>teil</w:t>
      </w:r>
      <w:r w:rsidR="006B47A4" w:rsidRPr="008110F5">
        <w:rPr>
          <w:bCs/>
        </w:rPr>
        <w:t>t</w:t>
      </w:r>
      <w:r w:rsidR="006C2750" w:rsidRPr="008110F5">
        <w:rPr>
          <w:bCs/>
        </w:rPr>
        <w:t>.</w:t>
      </w:r>
    </w:p>
    <w:p w14:paraId="6B7B1B81" w14:textId="77777777" w:rsidR="008110F5" w:rsidRPr="008110F5" w:rsidRDefault="008110F5" w:rsidP="008110F5">
      <w:pPr>
        <w:pStyle w:val="Listenabsatz"/>
        <w:spacing w:after="0"/>
        <w:ind w:left="360"/>
        <w:rPr>
          <w:bCs/>
        </w:rPr>
      </w:pPr>
    </w:p>
    <w:p w14:paraId="6CDB25B6" w14:textId="77777777" w:rsidR="00133A0D" w:rsidRPr="00463B3B" w:rsidRDefault="009D0731" w:rsidP="00A243F7">
      <w:pPr>
        <w:pStyle w:val="Listenabsatz"/>
        <w:numPr>
          <w:ilvl w:val="0"/>
          <w:numId w:val="29"/>
        </w:numPr>
        <w:spacing w:after="0"/>
        <w:rPr>
          <w:bCs/>
        </w:rPr>
      </w:pPr>
      <w:r w:rsidRPr="00463B3B">
        <w:rPr>
          <w:bCs/>
        </w:rPr>
        <w:t>Zur</w:t>
      </w:r>
      <w:r w:rsidR="006C2750" w:rsidRPr="00463B3B">
        <w:rPr>
          <w:bCs/>
        </w:rPr>
        <w:t xml:space="preserve"> Wahrung der Vertraulichkeit gemäß Art. 28 Abs. 3 S. 2 lit. b, 29, 32 Abs. 4 DS-GVO</w:t>
      </w:r>
      <w:r w:rsidRPr="00463B3B">
        <w:rPr>
          <w:bCs/>
        </w:rPr>
        <w:t xml:space="preserve"> setzt d</w:t>
      </w:r>
      <w:r w:rsidR="006C2750" w:rsidRPr="00463B3B">
        <w:rPr>
          <w:bCs/>
        </w:rPr>
        <w:t xml:space="preserve">er Auftragnehmer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w:t>
      </w:r>
      <w:r w:rsidR="006C2750" w:rsidRPr="00463B3B">
        <w:rPr>
          <w:bCs/>
        </w:rPr>
        <w:lastRenderedPageBreak/>
        <w:t xml:space="preserve">der Weisung des Auftraggebers verarbeiten einschließlich der in diesem Vertrag eingeräumten Befugnisse, es sei denn, dass sie gesetzlich zur </w:t>
      </w:r>
      <w:r w:rsidR="00133A0D" w:rsidRPr="00463B3B">
        <w:rPr>
          <w:bCs/>
        </w:rPr>
        <w:t>Verarbeitung verpflichtet sind.</w:t>
      </w:r>
    </w:p>
    <w:p w14:paraId="2E42AF14" w14:textId="77777777" w:rsidR="009D0731" w:rsidRPr="006B47A4" w:rsidRDefault="009D0731" w:rsidP="00A243F7">
      <w:pPr>
        <w:spacing w:after="0"/>
        <w:rPr>
          <w:bCs/>
        </w:rPr>
      </w:pPr>
    </w:p>
    <w:p w14:paraId="4F4364C3" w14:textId="77777777" w:rsidR="00133A0D" w:rsidRPr="00133A0D" w:rsidRDefault="006C2750" w:rsidP="00A243F7">
      <w:pPr>
        <w:pStyle w:val="Listenabsatz"/>
        <w:numPr>
          <w:ilvl w:val="0"/>
          <w:numId w:val="29"/>
        </w:numPr>
        <w:spacing w:after="0"/>
      </w:pPr>
      <w:r w:rsidRPr="00463B3B">
        <w:rPr>
          <w:bCs/>
        </w:rPr>
        <w:t xml:space="preserve">Die Umsetzung und Einhaltung aller für diesen Auftrag erforderlichen technischen und organisatorischen Maßnahmen </w:t>
      </w:r>
      <w:r w:rsidR="009D0731" w:rsidRPr="00463B3B">
        <w:rPr>
          <w:bCs/>
        </w:rPr>
        <w:t xml:space="preserve">erfolgt </w:t>
      </w:r>
      <w:r w:rsidRPr="00463B3B">
        <w:rPr>
          <w:bCs/>
        </w:rPr>
        <w:t>gemäß Art. 28 Abs. 3 S. 2 lit. c, 32 DS-GVO [Einzelheiten in Anlage 1].</w:t>
      </w:r>
    </w:p>
    <w:p w14:paraId="677D6627" w14:textId="77777777" w:rsidR="009D0731" w:rsidRDefault="009D0731" w:rsidP="00A243F7">
      <w:pPr>
        <w:spacing w:after="0"/>
      </w:pPr>
    </w:p>
    <w:p w14:paraId="50C4D3CA" w14:textId="77777777" w:rsidR="00133A0D" w:rsidRPr="00463B3B" w:rsidRDefault="006C2750" w:rsidP="00A243F7">
      <w:pPr>
        <w:pStyle w:val="Listenabsatz"/>
        <w:numPr>
          <w:ilvl w:val="0"/>
          <w:numId w:val="29"/>
        </w:numPr>
        <w:spacing w:after="0"/>
        <w:rPr>
          <w:rFonts w:cs="Arial"/>
        </w:rPr>
      </w:pPr>
      <w:r>
        <w:t>Der Auftraggeber</w:t>
      </w:r>
      <w:r w:rsidRPr="0064668F">
        <w:t xml:space="preserve"> und der Auftragnehmer arbeiten auf Anfrage mit der Aufsichtsbehörde bei der Erfüllung ihrer Aufgaben zusammen.</w:t>
      </w:r>
      <w:r w:rsidR="00E8777F">
        <w:t xml:space="preserve"> </w:t>
      </w:r>
      <w:r w:rsidR="00133A0D" w:rsidRPr="00463B3B">
        <w:rPr>
          <w:rFonts w:cs="Arial"/>
        </w:rPr>
        <w:t xml:space="preserve">Die unverzügliche Information des </w:t>
      </w:r>
      <w:r w:rsidR="00133A0D" w:rsidRPr="00463B3B">
        <w:rPr>
          <w:rFonts w:ascii="Calibri" w:hAnsi="Calibri" w:cs="Arial"/>
        </w:rPr>
        <w:t>Auftraggebers</w:t>
      </w:r>
      <w:r w:rsidR="00133A0D" w:rsidRPr="00463B3B">
        <w:rPr>
          <w:rFonts w:cs="Arial"/>
        </w:rPr>
        <w:t xml:space="preserve">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w:t>
      </w:r>
      <w:r w:rsidR="00133A0D" w:rsidRPr="00463B3B">
        <w:rPr>
          <w:rFonts w:ascii="Calibri" w:hAnsi="Calibri" w:cs="Arial"/>
        </w:rPr>
        <w:t>Auftragnehmer</w:t>
      </w:r>
      <w:r w:rsidR="00133A0D" w:rsidRPr="00463B3B">
        <w:rPr>
          <w:rFonts w:cs="Arial"/>
        </w:rPr>
        <w:t xml:space="preserve"> ermittelt.</w:t>
      </w:r>
    </w:p>
    <w:p w14:paraId="29FDBC42" w14:textId="77777777" w:rsidR="009D0731" w:rsidRDefault="009D0731" w:rsidP="00A243F7">
      <w:pPr>
        <w:autoSpaceDE w:val="0"/>
        <w:autoSpaceDN w:val="0"/>
        <w:adjustRightInd w:val="0"/>
        <w:spacing w:after="0"/>
        <w:rPr>
          <w:rFonts w:cs="Arial"/>
        </w:rPr>
      </w:pPr>
    </w:p>
    <w:p w14:paraId="062BFB95" w14:textId="77777777" w:rsidR="00133A0D" w:rsidRPr="00463B3B" w:rsidRDefault="00133A0D" w:rsidP="00A243F7">
      <w:pPr>
        <w:pStyle w:val="Listenabsatz"/>
        <w:numPr>
          <w:ilvl w:val="0"/>
          <w:numId w:val="29"/>
        </w:numPr>
        <w:autoSpaceDE w:val="0"/>
        <w:autoSpaceDN w:val="0"/>
        <w:adjustRightInd w:val="0"/>
        <w:spacing w:after="0"/>
        <w:rPr>
          <w:b/>
          <w:bCs/>
          <w:sz w:val="20"/>
          <w:szCs w:val="20"/>
        </w:rPr>
      </w:pPr>
      <w:r w:rsidRPr="00463B3B">
        <w:rPr>
          <w:rFonts w:cs="Arial"/>
        </w:rPr>
        <w:t xml:space="preserve">Soweit der </w:t>
      </w:r>
      <w:r w:rsidRPr="00463B3B">
        <w:rPr>
          <w:rFonts w:ascii="Calibri" w:hAnsi="Calibri" w:cs="Arial"/>
        </w:rPr>
        <w:t xml:space="preserve">Auftraggeber seinerseits einer Kontrolle der Aufsichtsbehörde, einem </w:t>
      </w:r>
      <w:r w:rsidRPr="00463B3B">
        <w:rPr>
          <w:rFonts w:cs="Arial"/>
        </w:rPr>
        <w:t xml:space="preserve">Ordnungswidrigkeits- oder Strafverfahren, </w:t>
      </w:r>
      <w:r w:rsidRPr="00463B3B">
        <w:rPr>
          <w:rFonts w:ascii="Calibri" w:hAnsi="Calibri" w:cs="Arial"/>
        </w:rPr>
        <w:t>dem Haftungsanspruch einer betroffenen Person oder eines Dritten oder einem anderen Anspruch im Zusammenhang mit der Auftragsverarbeitung beim Auftragnehmer</w:t>
      </w:r>
      <w:r w:rsidRPr="00463B3B">
        <w:rPr>
          <w:rFonts w:cs="Arial"/>
        </w:rPr>
        <w:t xml:space="preserve"> </w:t>
      </w:r>
      <w:r w:rsidRPr="00463B3B">
        <w:rPr>
          <w:rFonts w:ascii="Calibri" w:hAnsi="Calibri" w:cs="Arial"/>
        </w:rPr>
        <w:t>ausgesetzt ist, hat ihn der Auftragnehmer nach besten Kräften zu unterstützen.</w:t>
      </w:r>
    </w:p>
    <w:p w14:paraId="605F412B" w14:textId="77777777" w:rsidR="009D0731" w:rsidRDefault="009D0731" w:rsidP="00A243F7">
      <w:pPr>
        <w:autoSpaceDE w:val="0"/>
        <w:autoSpaceDN w:val="0"/>
        <w:adjustRightInd w:val="0"/>
        <w:spacing w:after="0"/>
        <w:rPr>
          <w:bCs/>
          <w:szCs w:val="20"/>
        </w:rPr>
      </w:pPr>
    </w:p>
    <w:p w14:paraId="4153F7BF" w14:textId="77777777" w:rsidR="0047300C" w:rsidRPr="00463B3B" w:rsidRDefault="0047300C" w:rsidP="00A243F7">
      <w:pPr>
        <w:pStyle w:val="Listenabsatz"/>
        <w:numPr>
          <w:ilvl w:val="0"/>
          <w:numId w:val="29"/>
        </w:numPr>
        <w:autoSpaceDE w:val="0"/>
        <w:autoSpaceDN w:val="0"/>
        <w:adjustRightInd w:val="0"/>
        <w:spacing w:after="0"/>
        <w:rPr>
          <w:bCs/>
          <w:szCs w:val="20"/>
        </w:rPr>
      </w:pPr>
      <w:r w:rsidRPr="00463B3B">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4D542E28" w14:textId="77777777" w:rsidR="009D0731" w:rsidRDefault="009D0731" w:rsidP="00A243F7">
      <w:pPr>
        <w:autoSpaceDE w:val="0"/>
        <w:autoSpaceDN w:val="0"/>
        <w:adjustRightInd w:val="0"/>
        <w:spacing w:after="0"/>
      </w:pPr>
    </w:p>
    <w:p w14:paraId="317B9138" w14:textId="77777777" w:rsidR="006C2750" w:rsidRPr="00C569A1" w:rsidRDefault="006C2750" w:rsidP="00A243F7">
      <w:pPr>
        <w:pStyle w:val="Listenabsatz"/>
        <w:numPr>
          <w:ilvl w:val="0"/>
          <w:numId w:val="29"/>
        </w:numPr>
        <w:autoSpaceDE w:val="0"/>
        <w:autoSpaceDN w:val="0"/>
        <w:adjustRightInd w:val="0"/>
        <w:spacing w:after="0"/>
        <w:rPr>
          <w:b/>
          <w:bCs/>
          <w:sz w:val="20"/>
          <w:szCs w:val="20"/>
        </w:rPr>
      </w:pPr>
      <w:r w:rsidRPr="0064668F">
        <w:t>Nachweisbarkeit der getroffenen technischen und organisatorischen Maßnah</w:t>
      </w:r>
      <w:r>
        <w:t>men gegenüber dem Auftraggeber im Rahmen seiner Kontrollbefugnisse nach Ziffer 7 dieses Vertrages.</w:t>
      </w:r>
    </w:p>
    <w:p w14:paraId="6C7EDF44" w14:textId="77777777" w:rsidR="006C2750" w:rsidRPr="00F16765" w:rsidRDefault="006C2750" w:rsidP="00A243F7">
      <w:pPr>
        <w:pStyle w:val="berschrift2"/>
        <w:rPr>
          <w:b/>
          <w:color w:val="000000" w:themeColor="text1"/>
        </w:rPr>
      </w:pPr>
      <w:r w:rsidRPr="00F16765">
        <w:rPr>
          <w:b/>
          <w:color w:val="000000" w:themeColor="text1"/>
        </w:rPr>
        <w:t>6. Unterauftragsverhältnisse</w:t>
      </w:r>
    </w:p>
    <w:p w14:paraId="5A48304F" w14:textId="77777777" w:rsidR="00E8777F" w:rsidRDefault="00E8777F" w:rsidP="00A243F7">
      <w:pPr>
        <w:spacing w:after="0"/>
        <w:contextualSpacing/>
        <w:rPr>
          <w:rFonts w:eastAsia="Times New Roman" w:cs="Calibri"/>
        </w:rPr>
      </w:pPr>
    </w:p>
    <w:p w14:paraId="1E72233D" w14:textId="77777777" w:rsidR="006C2750" w:rsidRPr="008D593B" w:rsidRDefault="006C2750" w:rsidP="00A243F7">
      <w:pPr>
        <w:spacing w:after="0"/>
        <w:contextualSpacing/>
        <w:rPr>
          <w:rFonts w:eastAsia="Times New Roman" w:cs="Calibri"/>
        </w:rPr>
      </w:pPr>
      <w:r>
        <w:rPr>
          <w:rFonts w:eastAsia="Times New Roman" w:cs="Calibri"/>
        </w:rPr>
        <w:t>(1) A</w:t>
      </w:r>
      <w:r w:rsidRPr="008D593B">
        <w:rPr>
          <w:rFonts w:eastAsia="Times New Roman" w:cs="Calibri"/>
        </w:rPr>
        <w:t xml:space="preserve">ls Unterauftragsverhältnisse </w:t>
      </w:r>
      <w:r w:rsidR="00E8777F">
        <w:rPr>
          <w:rFonts w:eastAsia="Times New Roman" w:cs="Calibri"/>
        </w:rPr>
        <w:t xml:space="preserve">(eine Auflistung enthält die Anlage 2) </w:t>
      </w:r>
      <w:r w:rsidRPr="008D593B">
        <w:rPr>
          <w:rFonts w:eastAsia="Times New Roman" w:cs="Calibri"/>
        </w:rPr>
        <w:t xml:space="preserve">im Sinne dieser Regelung sind solche Dienstleistungen zu verstehen, die </w:t>
      </w:r>
      <w:r>
        <w:rPr>
          <w:rFonts w:eastAsia="Times New Roman" w:cs="Calibri"/>
        </w:rPr>
        <w:t xml:space="preserve">sich unmittelbar auf die Erbringung der Hauptleistung beziehen. Nicht hierzu gehören Nebenleistungen, die </w:t>
      </w:r>
      <w:r w:rsidRPr="008D593B">
        <w:rPr>
          <w:rFonts w:eastAsia="Times New Roman" w:cs="Calibri"/>
        </w:rPr>
        <w:t xml:space="preserve">der Auftragnehmer </w:t>
      </w:r>
      <w:r>
        <w:rPr>
          <w:rFonts w:eastAsia="Times New Roman" w:cs="Calibri"/>
        </w:rPr>
        <w:t>z.B. als</w:t>
      </w:r>
      <w:r w:rsidRPr="008D593B">
        <w:rPr>
          <w:rFonts w:eastAsia="Times New Roman" w:cs="Calibri"/>
        </w:rPr>
        <w:t xml:space="preserve">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w:t>
      </w:r>
      <w:r>
        <w:rPr>
          <w:rFonts w:eastAsia="Times New Roman" w:cs="Calibri"/>
        </w:rPr>
        <w:t xml:space="preserve"> in Anspruch nimmt</w:t>
      </w:r>
      <w:r w:rsidRPr="008D593B">
        <w:rPr>
          <w:rFonts w:eastAsia="Times New Roman" w:cs="Calibri"/>
        </w:rPr>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1BBE9B27" w14:textId="77777777" w:rsidR="006C2750" w:rsidRPr="006D20EA" w:rsidRDefault="006C2750" w:rsidP="00A243F7">
      <w:pPr>
        <w:spacing w:after="0"/>
        <w:rPr>
          <w:rFonts w:eastAsia="Times New Roman" w:cs="Calibri"/>
          <w:b/>
        </w:rPr>
      </w:pPr>
    </w:p>
    <w:p w14:paraId="7A52DF49" w14:textId="77777777" w:rsidR="006C2750" w:rsidRDefault="006C2750" w:rsidP="00A243F7">
      <w:pPr>
        <w:spacing w:after="0"/>
        <w:contextualSpacing/>
        <w:rPr>
          <w:rFonts w:eastAsia="Times New Roman" w:cs="Calibri"/>
        </w:rPr>
      </w:pPr>
      <w:r>
        <w:rPr>
          <w:rFonts w:eastAsia="Times New Roman" w:cs="Calibri"/>
        </w:rPr>
        <w:t xml:space="preserve">(2) </w:t>
      </w:r>
      <w:r w:rsidRPr="008D593B">
        <w:rPr>
          <w:rFonts w:eastAsia="Times New Roman" w:cs="Calibri"/>
        </w:rPr>
        <w:t xml:space="preserve">Der Auftragnehmer darf Unterauftragnehmer (weitere Auftragsverarbeiter) nur nach vorheriger ausdrücklicher schriftlicher bzw. dokumentierter Zustimmung des Auftraggebers beauftragen. </w:t>
      </w:r>
      <w:r w:rsidRPr="009D0731">
        <w:rPr>
          <w:rFonts w:eastAsia="Times New Roman" w:cs="Calibri"/>
        </w:rPr>
        <w:t xml:space="preserve">Der Auftraggeber stimmt der Beauftragung der </w:t>
      </w:r>
      <w:r w:rsidR="009D0731">
        <w:rPr>
          <w:rFonts w:eastAsia="Times New Roman" w:cs="Calibri"/>
        </w:rPr>
        <w:t xml:space="preserve">in Anlage 2 aufgeführten </w:t>
      </w:r>
      <w:r w:rsidRPr="009D0731">
        <w:rPr>
          <w:rFonts w:eastAsia="Times New Roman" w:cs="Calibri"/>
        </w:rPr>
        <w:t>Unterauftragnehmer zu unter der Bedingung einer vertraglichen Vereinbarung nach Maßgabe des Art. 28 Abs. 2-4 DS-GVO</w:t>
      </w:r>
      <w:r w:rsidR="009D0731">
        <w:rPr>
          <w:rFonts w:eastAsia="Times New Roman" w:cs="Calibri"/>
        </w:rPr>
        <w:t>.</w:t>
      </w:r>
    </w:p>
    <w:p w14:paraId="584CF598" w14:textId="77777777" w:rsidR="009D0731" w:rsidRPr="009D0731" w:rsidRDefault="009D0731" w:rsidP="00A243F7">
      <w:pPr>
        <w:spacing w:after="0"/>
        <w:rPr>
          <w:rFonts w:eastAsia="Times New Roman" w:cs="Calibri"/>
        </w:rPr>
      </w:pPr>
    </w:p>
    <w:p w14:paraId="1B76AEA6" w14:textId="77777777" w:rsidR="006C2750" w:rsidRPr="00FB3BCA" w:rsidRDefault="006C2750" w:rsidP="00A243F7">
      <w:pPr>
        <w:spacing w:after="0"/>
        <w:rPr>
          <w:rFonts w:eastAsia="Times New Roman" w:cs="Calibri"/>
        </w:rPr>
      </w:pPr>
      <w:r w:rsidRPr="00FB3BCA">
        <w:rPr>
          <w:rFonts w:eastAsia="Times New Roman" w:cs="Calibri"/>
        </w:rPr>
        <w:t>Die Auslagerung auf Unterauftragnehmer oder der Wechsel des bestehenden Unterauftragnehmers</w:t>
      </w:r>
    </w:p>
    <w:p w14:paraId="3316D565" w14:textId="77777777" w:rsidR="006C2750" w:rsidRPr="00FB3BCA" w:rsidRDefault="006C2750" w:rsidP="00A243F7">
      <w:pPr>
        <w:spacing w:after="0"/>
        <w:rPr>
          <w:rFonts w:eastAsia="Times New Roman" w:cs="Calibri"/>
        </w:rPr>
      </w:pPr>
      <w:r w:rsidRPr="00FB3BCA">
        <w:rPr>
          <w:rFonts w:eastAsia="Times New Roman" w:cs="Calibri"/>
        </w:rPr>
        <w:t>sind zulässig, soweit</w:t>
      </w:r>
    </w:p>
    <w:p w14:paraId="0E055B49" w14:textId="77777777" w:rsidR="00FB3BCA" w:rsidRPr="00FB3BCA" w:rsidRDefault="006C2750" w:rsidP="00A243F7">
      <w:pPr>
        <w:pStyle w:val="Listenabsatz"/>
        <w:numPr>
          <w:ilvl w:val="0"/>
          <w:numId w:val="26"/>
        </w:numPr>
        <w:rPr>
          <w:rFonts w:eastAsia="Times New Roman" w:cs="Calibri"/>
        </w:rPr>
      </w:pPr>
      <w:r w:rsidRPr="00FB3BCA">
        <w:rPr>
          <w:rFonts w:eastAsia="Times New Roman" w:cs="Calibri"/>
        </w:rPr>
        <w:lastRenderedPageBreak/>
        <w:t>der Auftragnehmer eine solche Auslagerung auf Unterauftragnehmer dem Auftraggeber eine angemessene Zeit vorab schriftlich oder in Textform anzeigt</w:t>
      </w:r>
      <w:r w:rsidR="00FB3BCA">
        <w:rPr>
          <w:rFonts w:eastAsia="Times New Roman" w:cs="Calibri"/>
        </w:rPr>
        <w:t xml:space="preserve"> und</w:t>
      </w:r>
    </w:p>
    <w:p w14:paraId="7E8BBFF4" w14:textId="77777777" w:rsidR="006C2750" w:rsidRPr="00FB3BCA" w:rsidRDefault="006C2750" w:rsidP="00A243F7">
      <w:pPr>
        <w:pStyle w:val="Listenabsatz"/>
        <w:numPr>
          <w:ilvl w:val="0"/>
          <w:numId w:val="26"/>
        </w:numPr>
        <w:rPr>
          <w:rFonts w:eastAsia="Times New Roman" w:cs="Calibri"/>
        </w:rPr>
      </w:pPr>
      <w:r w:rsidRPr="00FB3BCA">
        <w:rPr>
          <w:rFonts w:eastAsia="Times New Roman" w:cs="Calibri"/>
        </w:rPr>
        <w:t>der Auftraggeber nicht bis zum Zeitpunkt der Übergabe der Daten gegenüber dem Auftragnehmer schriftlich oder in Textform Einspruch gegen die geplante Auslagerung erhebt und</w:t>
      </w:r>
    </w:p>
    <w:p w14:paraId="524FFBEF" w14:textId="77777777" w:rsidR="006C2750" w:rsidRPr="00FB3BCA" w:rsidRDefault="006C2750" w:rsidP="00A243F7">
      <w:pPr>
        <w:pStyle w:val="Listenabsatz"/>
        <w:numPr>
          <w:ilvl w:val="0"/>
          <w:numId w:val="26"/>
        </w:numPr>
        <w:spacing w:after="0"/>
        <w:rPr>
          <w:rFonts w:eastAsia="Times New Roman" w:cs="Calibri"/>
        </w:rPr>
      </w:pPr>
      <w:r w:rsidRPr="00FB3BCA">
        <w:rPr>
          <w:rFonts w:eastAsia="Times New Roman" w:cs="Calibri"/>
        </w:rPr>
        <w:t>eine vertragliche Vereinbarung nach Maßgabe des Art. 28 Abs. 2-4 DS-GVO zugrunde gelegt wird.</w:t>
      </w:r>
    </w:p>
    <w:p w14:paraId="6180E93F" w14:textId="77777777" w:rsidR="00FB3BCA" w:rsidRPr="00FB3BCA" w:rsidRDefault="00FB3BCA" w:rsidP="00A243F7">
      <w:pPr>
        <w:spacing w:after="0"/>
        <w:rPr>
          <w:rFonts w:eastAsia="Times New Roman" w:cs="Calibri"/>
        </w:rPr>
      </w:pPr>
    </w:p>
    <w:p w14:paraId="29810588" w14:textId="77777777" w:rsidR="006C2750" w:rsidRDefault="006C2750" w:rsidP="00A243F7">
      <w:pPr>
        <w:spacing w:after="0"/>
        <w:rPr>
          <w:rFonts w:eastAsia="Times New Roman" w:cs="Calibri"/>
        </w:rPr>
      </w:pPr>
      <w:r>
        <w:rPr>
          <w:rFonts w:eastAsia="Times New Roman" w:cs="Calibri"/>
        </w:rPr>
        <w:t>(3) Die W</w:t>
      </w:r>
      <w:r w:rsidRPr="008D593B">
        <w:rPr>
          <w:rFonts w:eastAsia="Times New Roman" w:cs="Calibri"/>
        </w:rPr>
        <w:t>eitergabe von personenbezogenen Daten des Auftraggebers an den Unterauftragnehmer und de</w:t>
      </w:r>
      <w:r>
        <w:rPr>
          <w:rFonts w:eastAsia="Times New Roman" w:cs="Calibri"/>
        </w:rPr>
        <w:t>ssen erstmaliges Tätigwerden sind</w:t>
      </w:r>
      <w:r w:rsidRPr="008D593B">
        <w:rPr>
          <w:rFonts w:eastAsia="Times New Roman" w:cs="Calibri"/>
        </w:rPr>
        <w:t xml:space="preserve"> erst mit Vorliegen </w:t>
      </w:r>
      <w:r>
        <w:rPr>
          <w:rFonts w:eastAsia="Times New Roman" w:cs="Calibri"/>
        </w:rPr>
        <w:t>aller Voraussetzungen für eine Unterbeauftragung gestattet</w:t>
      </w:r>
      <w:r w:rsidRPr="008D593B">
        <w:rPr>
          <w:rFonts w:eastAsia="Times New Roman" w:cs="Calibri"/>
        </w:rPr>
        <w:t>.</w:t>
      </w:r>
    </w:p>
    <w:p w14:paraId="55BDFE9B" w14:textId="77777777" w:rsidR="00FB3BCA" w:rsidRDefault="00FB3BCA" w:rsidP="00A243F7">
      <w:pPr>
        <w:spacing w:after="0"/>
        <w:contextualSpacing/>
        <w:rPr>
          <w:rFonts w:eastAsia="Times New Roman" w:cs="Calibri"/>
        </w:rPr>
      </w:pPr>
    </w:p>
    <w:p w14:paraId="3020AC01" w14:textId="4546219F" w:rsidR="006C2750" w:rsidRDefault="006C2750" w:rsidP="00A243F7">
      <w:pPr>
        <w:spacing w:after="0"/>
        <w:contextualSpacing/>
        <w:rPr>
          <w:rFonts w:eastAsia="Times New Roman" w:cs="Calibri"/>
        </w:rPr>
      </w:pPr>
      <w:r>
        <w:rPr>
          <w:rFonts w:eastAsia="Times New Roman" w:cs="Calibri"/>
        </w:rPr>
        <w:t>(</w:t>
      </w:r>
      <w:r w:rsidR="00EC1D8C">
        <w:rPr>
          <w:rFonts w:eastAsia="Times New Roman" w:cs="Calibri"/>
        </w:rPr>
        <w:t>4</w:t>
      </w:r>
      <w:r>
        <w:rPr>
          <w:rFonts w:eastAsia="Times New Roman" w:cs="Calibri"/>
        </w:rPr>
        <w:t xml:space="preserve">) </w:t>
      </w:r>
      <w:r w:rsidRPr="008D593B">
        <w:rPr>
          <w:rFonts w:eastAsia="Times New Roman" w:cs="Calibri"/>
        </w:rPr>
        <w:t xml:space="preserve">Eine weitere Auslagerung durch den Unterauftragnehmer </w:t>
      </w:r>
      <w:r w:rsidRPr="00FB3BCA">
        <w:rPr>
          <w:rFonts w:eastAsia="Times New Roman" w:cs="Calibri"/>
        </w:rPr>
        <w:t>ist nicht gestattet</w:t>
      </w:r>
      <w:r w:rsidR="00FB3BCA">
        <w:rPr>
          <w:rFonts w:eastAsia="Times New Roman" w:cs="Calibri"/>
        </w:rPr>
        <w:t>.</w:t>
      </w:r>
    </w:p>
    <w:p w14:paraId="707369EB" w14:textId="77777777" w:rsidR="006C2750" w:rsidRPr="008D593B" w:rsidRDefault="006C2750" w:rsidP="00A243F7">
      <w:pPr>
        <w:spacing w:after="0"/>
        <w:contextualSpacing/>
        <w:rPr>
          <w:rFonts w:eastAsia="Times New Roman" w:cs="Calibri"/>
        </w:rPr>
      </w:pPr>
    </w:p>
    <w:p w14:paraId="16B3481F" w14:textId="77777777" w:rsidR="006C2750" w:rsidRPr="00F16765" w:rsidRDefault="006C2750" w:rsidP="00A243F7">
      <w:pPr>
        <w:pStyle w:val="berschrift2"/>
        <w:rPr>
          <w:b/>
          <w:color w:val="000000" w:themeColor="text1"/>
        </w:rPr>
      </w:pPr>
      <w:r w:rsidRPr="00F16765">
        <w:rPr>
          <w:b/>
          <w:color w:val="000000" w:themeColor="text1"/>
        </w:rPr>
        <w:t>7. Kontrollrechte des Auftraggebers</w:t>
      </w:r>
    </w:p>
    <w:p w14:paraId="76E28887" w14:textId="77777777" w:rsidR="00FB3BCA" w:rsidRDefault="00FB3BCA" w:rsidP="00A243F7">
      <w:pPr>
        <w:autoSpaceDE w:val="0"/>
        <w:autoSpaceDN w:val="0"/>
        <w:adjustRightInd w:val="0"/>
        <w:spacing w:after="0"/>
        <w:rPr>
          <w:rFonts w:ascii="Calibri" w:hAnsi="Calibri" w:cs="Arial"/>
        </w:rPr>
      </w:pPr>
    </w:p>
    <w:p w14:paraId="6B9C96E1" w14:textId="77777777" w:rsidR="006C2750" w:rsidRPr="0064668F" w:rsidRDefault="006C2750" w:rsidP="00A243F7">
      <w:pPr>
        <w:autoSpaceDE w:val="0"/>
        <w:autoSpaceDN w:val="0"/>
        <w:adjustRightInd w:val="0"/>
        <w:spacing w:after="0"/>
        <w:rPr>
          <w:rFonts w:ascii="Calibri" w:hAnsi="Calibri" w:cs="Arial"/>
        </w:rPr>
      </w:pPr>
      <w:r>
        <w:rPr>
          <w:rFonts w:ascii="Calibri" w:hAnsi="Calibri" w:cs="Arial"/>
        </w:rPr>
        <w:t>(1) Der Auftraggeber</w:t>
      </w:r>
      <w:r w:rsidRPr="0064668F">
        <w:rPr>
          <w:rFonts w:ascii="Calibri" w:hAnsi="Calibri" w:cs="Arial"/>
        </w:rPr>
        <w:t xml:space="preserve"> hat das Recht, im Benehmen mit dem Auftragnehmer </w:t>
      </w:r>
      <w:r w:rsidRPr="0064668F">
        <w:rPr>
          <w:rFonts w:ascii="Calibri" w:hAnsi="Calibri"/>
        </w:rPr>
        <w:t xml:space="preserve">Überprüfungen </w:t>
      </w:r>
      <w:r w:rsidRPr="0064668F">
        <w:rPr>
          <w:rFonts w:ascii="Calibri" w:hAnsi="Calibri"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71552F0B" w14:textId="77777777" w:rsidR="00FB3BCA" w:rsidRDefault="00FB3BCA" w:rsidP="00A243F7">
      <w:pPr>
        <w:autoSpaceDE w:val="0"/>
        <w:autoSpaceDN w:val="0"/>
        <w:adjustRightInd w:val="0"/>
        <w:spacing w:after="0"/>
        <w:rPr>
          <w:rFonts w:ascii="Calibri" w:hAnsi="Calibri" w:cs="Arial"/>
        </w:rPr>
      </w:pPr>
    </w:p>
    <w:p w14:paraId="6BFABC31" w14:textId="77777777" w:rsidR="006C2750" w:rsidRDefault="006C2750" w:rsidP="00A243F7">
      <w:pPr>
        <w:autoSpaceDE w:val="0"/>
        <w:autoSpaceDN w:val="0"/>
        <w:adjustRightInd w:val="0"/>
        <w:spacing w:after="0"/>
        <w:rPr>
          <w:rFonts w:ascii="Calibri" w:hAnsi="Calibri" w:cs="Arial"/>
        </w:rPr>
      </w:pPr>
      <w:r>
        <w:rPr>
          <w:rFonts w:ascii="Calibri" w:hAnsi="Calibri" w:cs="Arial"/>
        </w:rPr>
        <w:t xml:space="preserve">(2) </w:t>
      </w:r>
      <w:r w:rsidRPr="0064668F">
        <w:rPr>
          <w:rFonts w:ascii="Calibri" w:hAnsi="Calibri" w:cs="Arial"/>
        </w:rPr>
        <w:t>Der Auftragnehmer stellt sicher, dass sich der Auftraggeber von der Einhaltung der Pflichten des Auftragnehmer</w:t>
      </w:r>
      <w:r>
        <w:rPr>
          <w:rFonts w:ascii="Calibri" w:hAnsi="Calibri" w:cs="Arial"/>
        </w:rPr>
        <w:t>s</w:t>
      </w:r>
      <w:r w:rsidRPr="0064668F">
        <w:rPr>
          <w:rFonts w:ascii="Calibri" w:hAnsi="Calibri" w:cs="Arial"/>
        </w:rPr>
        <w:t xml:space="preserve"> nach Art. 28 DS-GVO überzeugen kann. Der Auftragnehmer verpflichtet sich, dem Auftraggeber auf Anforderung die erforderlichen Auskünfte zu </w:t>
      </w:r>
      <w:r>
        <w:rPr>
          <w:rFonts w:ascii="Calibri" w:hAnsi="Calibri" w:cs="Arial"/>
        </w:rPr>
        <w:t>erteilen</w:t>
      </w:r>
      <w:r w:rsidRPr="0064668F">
        <w:rPr>
          <w:rFonts w:ascii="Calibri" w:hAnsi="Calibri" w:cs="Arial"/>
        </w:rPr>
        <w:t xml:space="preserve"> und </w:t>
      </w:r>
      <w:r>
        <w:rPr>
          <w:rFonts w:ascii="Calibri" w:hAnsi="Calibri" w:cs="Arial"/>
        </w:rPr>
        <w:t xml:space="preserve">insbesondere </w:t>
      </w:r>
      <w:r w:rsidRPr="00A960DC">
        <w:rPr>
          <w:rFonts w:ascii="Calibri" w:hAnsi="Calibri" w:cs="Arial"/>
        </w:rPr>
        <w:t>die Umsetzung der technischen und organisatorischen Maßnahmen</w:t>
      </w:r>
      <w:r>
        <w:rPr>
          <w:rFonts w:ascii="Calibri" w:hAnsi="Calibri" w:cs="Arial"/>
        </w:rPr>
        <w:t xml:space="preserve"> nachzuweisen</w:t>
      </w:r>
      <w:r w:rsidRPr="00A960DC">
        <w:rPr>
          <w:rFonts w:ascii="Calibri" w:hAnsi="Calibri" w:cs="Arial"/>
        </w:rPr>
        <w:t xml:space="preserve">. </w:t>
      </w:r>
    </w:p>
    <w:p w14:paraId="0D12A61B" w14:textId="77777777" w:rsidR="00FB3BCA" w:rsidRDefault="00FB3BCA" w:rsidP="00A243F7">
      <w:pPr>
        <w:autoSpaceDE w:val="0"/>
        <w:autoSpaceDN w:val="0"/>
        <w:adjustRightInd w:val="0"/>
        <w:spacing w:after="0"/>
        <w:rPr>
          <w:rFonts w:ascii="Calibri" w:hAnsi="Calibri" w:cs="Arial"/>
        </w:rPr>
      </w:pPr>
    </w:p>
    <w:p w14:paraId="1F7B087E" w14:textId="77777777" w:rsidR="006C2750" w:rsidRDefault="006C2750" w:rsidP="00A243F7">
      <w:pPr>
        <w:autoSpaceDE w:val="0"/>
        <w:autoSpaceDN w:val="0"/>
        <w:adjustRightInd w:val="0"/>
        <w:spacing w:after="0"/>
      </w:pPr>
      <w:r>
        <w:rPr>
          <w:rFonts w:ascii="Calibri" w:hAnsi="Calibri" w:cs="Arial"/>
        </w:rPr>
        <w:t>(3) D</w:t>
      </w:r>
      <w:r w:rsidRPr="00A960DC">
        <w:rPr>
          <w:rFonts w:ascii="Calibri" w:hAnsi="Calibri" w:cs="Arial"/>
        </w:rPr>
        <w:t>er Nachweis solcher Maßnahmen, die nicht nur den konkreten Auftrag betreffen,</w:t>
      </w:r>
      <w:r>
        <w:rPr>
          <w:rFonts w:ascii="Calibri" w:hAnsi="Calibri" w:cs="Arial"/>
        </w:rPr>
        <w:t xml:space="preserve"> kann</w:t>
      </w:r>
      <w:r w:rsidRPr="00A960DC">
        <w:rPr>
          <w:rFonts w:ascii="Calibri" w:hAnsi="Calibri" w:cs="Arial"/>
        </w:rPr>
        <w:t xml:space="preserve"> </w:t>
      </w:r>
      <w:r>
        <w:rPr>
          <w:rFonts w:ascii="Calibri" w:hAnsi="Calibri" w:cs="Arial"/>
        </w:rPr>
        <w:t xml:space="preserve">erfolgen </w:t>
      </w:r>
      <w:r w:rsidRPr="00A960DC">
        <w:rPr>
          <w:rFonts w:ascii="Calibri" w:hAnsi="Calibri" w:cs="Arial"/>
        </w:rPr>
        <w:t xml:space="preserve">durch </w:t>
      </w:r>
      <w:r w:rsidR="00C51BA9">
        <w:rPr>
          <w:rFonts w:ascii="Calibri" w:hAnsi="Calibri" w:cs="Arial"/>
        </w:rPr>
        <w:t>den Datenschutzbeauftragten.</w:t>
      </w:r>
    </w:p>
    <w:p w14:paraId="4E018378" w14:textId="77777777" w:rsidR="00FB3BCA" w:rsidRDefault="00FB3BCA" w:rsidP="00A243F7">
      <w:pPr>
        <w:rPr>
          <w:rFonts w:cs="Arial"/>
        </w:rPr>
      </w:pPr>
    </w:p>
    <w:p w14:paraId="220C790D" w14:textId="4A3A0C00" w:rsidR="006C2750" w:rsidRDefault="006C2750" w:rsidP="00A243F7">
      <w:r>
        <w:rPr>
          <w:rFonts w:cs="Arial"/>
        </w:rPr>
        <w:t xml:space="preserve">(4) Für die Ermöglichung von Kontrollen durch den Auftraggeber kann der </w:t>
      </w:r>
      <w:r>
        <w:t>Auftragnehmer einen Vergütungsanspruch geltend machen.</w:t>
      </w:r>
    </w:p>
    <w:p w14:paraId="538CAEAE" w14:textId="77777777" w:rsidR="006C2750" w:rsidRPr="000B7CC2" w:rsidRDefault="006C2750" w:rsidP="00A243F7">
      <w:pPr>
        <w:pStyle w:val="berschrift2"/>
        <w:rPr>
          <w:rFonts w:eastAsiaTheme="minorHAnsi"/>
          <w:i/>
          <w:iCs/>
        </w:rPr>
      </w:pPr>
      <w:r w:rsidRPr="00F16765">
        <w:rPr>
          <w:b/>
          <w:color w:val="000000" w:themeColor="text1"/>
        </w:rPr>
        <w:t>8. Mitteilung bei Verstößen des Auftragnehmers</w:t>
      </w:r>
    </w:p>
    <w:p w14:paraId="57162393" w14:textId="77777777" w:rsidR="006C2750" w:rsidRPr="008D593B" w:rsidRDefault="00FB3BCA" w:rsidP="00A243F7">
      <w:pPr>
        <w:spacing w:after="0"/>
        <w:rPr>
          <w:rFonts w:eastAsia="Times New Roman" w:cs="Calibri"/>
        </w:rPr>
      </w:pPr>
      <w:r>
        <w:rPr>
          <w:rFonts w:eastAsia="Times New Roman" w:cs="Calibri"/>
        </w:rPr>
        <w:br/>
      </w:r>
      <w:r w:rsidR="006C2750">
        <w:rPr>
          <w:rFonts w:eastAsia="Times New Roman" w:cs="Calibri"/>
        </w:rPr>
        <w:t xml:space="preserve">(1) </w:t>
      </w:r>
      <w:r w:rsidR="006C2750" w:rsidRPr="008D593B">
        <w:rPr>
          <w:rFonts w:eastAsia="Times New Roman" w:cs="Calibri"/>
        </w:rPr>
        <w:t>Der Auftrag</w:t>
      </w:r>
      <w:r w:rsidR="006C2750">
        <w:rPr>
          <w:rFonts w:eastAsia="Times New Roman" w:cs="Calibri"/>
        </w:rPr>
        <w:t>nehmer</w:t>
      </w:r>
      <w:r w:rsidR="006C2750" w:rsidRPr="008D593B">
        <w:rPr>
          <w:rFonts w:eastAsia="Times New Roman" w:cs="Calibri"/>
        </w:rPr>
        <w:t xml:space="preserve"> unterstützt den </w:t>
      </w:r>
      <w:r w:rsidR="006C2750">
        <w:rPr>
          <w:rFonts w:eastAsia="Times New Roman" w:cs="Calibri"/>
        </w:rPr>
        <w:t>Auftraggeber</w:t>
      </w:r>
      <w:r w:rsidR="006C2750" w:rsidRPr="008D593B">
        <w:rPr>
          <w:rFonts w:eastAsia="Times New Roman" w:cs="Calibri"/>
        </w:rPr>
        <w:t xml:space="preserve"> bei der Einhaltung der in den Artikeln 32 bis 36 der DS-GVO genannten Pflichten zur Sicherheit personenbezogener Daten, Meldepflichten bei Datenpannen, Datenschutz-Folgeabschätzungen und vorherige Konsultationen. Hierzu gehören</w:t>
      </w:r>
      <w:r w:rsidR="006C2750">
        <w:rPr>
          <w:rFonts w:eastAsia="Times New Roman" w:cs="Calibri"/>
        </w:rPr>
        <w:t xml:space="preserve"> u.a.</w:t>
      </w:r>
    </w:p>
    <w:p w14:paraId="075F9A7E" w14:textId="77777777" w:rsidR="006C2750" w:rsidRPr="008D593B" w:rsidRDefault="006C2750" w:rsidP="00A243F7">
      <w:pPr>
        <w:spacing w:after="0"/>
        <w:rPr>
          <w:rFonts w:eastAsia="Times New Roman" w:cs="Calibri"/>
        </w:rPr>
      </w:pPr>
    </w:p>
    <w:p w14:paraId="79B69050" w14:textId="77777777" w:rsidR="006C2750" w:rsidRDefault="006C2750" w:rsidP="00A243F7">
      <w:pPr>
        <w:pStyle w:val="Listenabsatz"/>
        <w:numPr>
          <w:ilvl w:val="0"/>
          <w:numId w:val="18"/>
        </w:numPr>
        <w:spacing w:after="0"/>
        <w:ind w:left="709"/>
        <w:rPr>
          <w:rFonts w:eastAsia="Times New Roman" w:cs="Calibri"/>
        </w:rPr>
      </w:pPr>
      <w:r w:rsidRPr="00792920">
        <w:rPr>
          <w:rFonts w:eastAsia="Times New Roman" w:cs="Calibri"/>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6BCB4445" w14:textId="77777777" w:rsidR="006C2750" w:rsidRPr="00792920" w:rsidRDefault="006C2750" w:rsidP="00A243F7">
      <w:pPr>
        <w:pStyle w:val="Listenabsatz"/>
        <w:numPr>
          <w:ilvl w:val="0"/>
          <w:numId w:val="18"/>
        </w:numPr>
        <w:spacing w:after="0"/>
        <w:ind w:left="709"/>
        <w:rPr>
          <w:rFonts w:eastAsia="Times New Roman" w:cs="Calibri"/>
        </w:rPr>
      </w:pPr>
      <w:r w:rsidRPr="00792920">
        <w:rPr>
          <w:rFonts w:eastAsia="Times New Roman" w:cs="Calibri"/>
        </w:rPr>
        <w:t>die Verpflichtung, Verletzungen personenbezogener Daten unverzüglich an den Auftraggeber zu melden</w:t>
      </w:r>
    </w:p>
    <w:p w14:paraId="70070AF7" w14:textId="77777777" w:rsidR="006C2750" w:rsidRPr="008D593B" w:rsidRDefault="006C2750" w:rsidP="00A243F7">
      <w:pPr>
        <w:numPr>
          <w:ilvl w:val="0"/>
          <w:numId w:val="18"/>
        </w:numPr>
        <w:spacing w:after="0" w:line="276" w:lineRule="auto"/>
        <w:ind w:left="709"/>
        <w:contextualSpacing/>
        <w:rPr>
          <w:rFonts w:eastAsia="Times New Roman" w:cs="Calibri"/>
        </w:rPr>
      </w:pPr>
      <w:r w:rsidRPr="008D593B">
        <w:rPr>
          <w:rFonts w:eastAsia="Times New Roman" w:cs="Calibri"/>
        </w:rPr>
        <w:lastRenderedPageBreak/>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14:paraId="593CA854" w14:textId="77777777" w:rsidR="006C2750" w:rsidRPr="008D593B" w:rsidRDefault="006C2750" w:rsidP="00A243F7">
      <w:pPr>
        <w:numPr>
          <w:ilvl w:val="0"/>
          <w:numId w:val="18"/>
        </w:numPr>
        <w:spacing w:after="0" w:line="276" w:lineRule="auto"/>
        <w:ind w:left="709"/>
        <w:contextualSpacing/>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für dessen Datenschutz</w:t>
      </w:r>
      <w:r>
        <w:rPr>
          <w:rFonts w:eastAsia="Times New Roman" w:cs="Calibri"/>
        </w:rPr>
        <w:t>-F</w:t>
      </w:r>
      <w:r w:rsidRPr="008D593B">
        <w:rPr>
          <w:rFonts w:eastAsia="Times New Roman" w:cs="Calibri"/>
        </w:rPr>
        <w:t>olgenabschätzung</w:t>
      </w:r>
    </w:p>
    <w:p w14:paraId="07128F70" w14:textId="77777777" w:rsidR="00FB3BCA" w:rsidRPr="00FB3BCA" w:rsidRDefault="006C2750" w:rsidP="00A243F7">
      <w:pPr>
        <w:numPr>
          <w:ilvl w:val="0"/>
          <w:numId w:val="18"/>
        </w:numPr>
        <w:spacing w:after="0" w:line="276" w:lineRule="auto"/>
        <w:ind w:left="709"/>
        <w:contextualSpacing/>
        <w:rPr>
          <w:rFonts w:eastAsia="Times New Roman" w:cs="Calibri"/>
        </w:rPr>
      </w:pPr>
      <w:r w:rsidRPr="00FB3BCA">
        <w:rPr>
          <w:rFonts w:eastAsia="Times New Roman" w:cs="Calibri"/>
        </w:rPr>
        <w:t>die Unterstützung des Auftraggebers im Rahmen vorheriger Konsultationen mit der Aufsichtsbehörde</w:t>
      </w:r>
      <w:r w:rsidR="00F16765">
        <w:rPr>
          <w:rFonts w:eastAsia="Times New Roman" w:cs="Calibri"/>
        </w:rPr>
        <w:br/>
      </w:r>
    </w:p>
    <w:p w14:paraId="45CCA1A6" w14:textId="0CD303A5" w:rsidR="006C2750" w:rsidRDefault="006C2750" w:rsidP="00A243F7">
      <w:r>
        <w:rPr>
          <w:rFonts w:eastAsia="Times New Roman" w:cs="Calibri"/>
        </w:rPr>
        <w:t xml:space="preserve">(2) Für Unterstützungsleistungen, die nicht in der Leistungsbeschreibung enthalten oder </w:t>
      </w:r>
      <w:r w:rsidR="00BA6A4C">
        <w:rPr>
          <w:rFonts w:eastAsia="Times New Roman" w:cs="Calibri"/>
        </w:rPr>
        <w:t xml:space="preserve">nicht </w:t>
      </w:r>
      <w:r>
        <w:rPr>
          <w:rFonts w:eastAsia="Times New Roman" w:cs="Calibri"/>
        </w:rPr>
        <w:t xml:space="preserve">auf ein Fehlverhalten des Auftragnehmers zurückzuführen sind, </w:t>
      </w:r>
      <w:r>
        <w:rPr>
          <w:rFonts w:cs="Arial"/>
        </w:rPr>
        <w:t xml:space="preserve">kann der </w:t>
      </w:r>
      <w:r>
        <w:t>Auftragnehmer eine Vergütung beanspruchen.</w:t>
      </w:r>
    </w:p>
    <w:p w14:paraId="56622BE7" w14:textId="77777777" w:rsidR="006C2750" w:rsidRPr="00F16765" w:rsidRDefault="006C2750" w:rsidP="00A243F7">
      <w:pPr>
        <w:pStyle w:val="berschrift2"/>
        <w:rPr>
          <w:b/>
          <w:color w:val="000000" w:themeColor="text1"/>
        </w:rPr>
      </w:pPr>
      <w:r w:rsidRPr="00F16765">
        <w:rPr>
          <w:b/>
          <w:color w:val="000000" w:themeColor="text1"/>
        </w:rPr>
        <w:t>9. Weisungsbefugnis des Auftraggebers</w:t>
      </w:r>
    </w:p>
    <w:p w14:paraId="0F3B2B84" w14:textId="77777777" w:rsidR="006C2750" w:rsidRDefault="00FB3BCA" w:rsidP="00A243F7">
      <w:r>
        <w:br/>
      </w:r>
      <w:r w:rsidR="006C2750" w:rsidRPr="00DD326E">
        <w:t>(</w:t>
      </w:r>
      <w:r w:rsidR="006C2750">
        <w:t>1</w:t>
      </w:r>
      <w:r w:rsidR="006C2750" w:rsidRPr="00DD326E">
        <w:t>) Mündliche</w:t>
      </w:r>
      <w:r w:rsidR="006C2750" w:rsidRPr="0064668F">
        <w:t xml:space="preserve"> Weisungen </w:t>
      </w:r>
      <w:r w:rsidR="006C2750">
        <w:t>bestätigt</w:t>
      </w:r>
      <w:r w:rsidR="006C2750" w:rsidRPr="0064668F">
        <w:t xml:space="preserve"> der </w:t>
      </w:r>
      <w:r w:rsidR="006C2750">
        <w:t>Auftraggeber</w:t>
      </w:r>
      <w:r w:rsidR="006C2750" w:rsidRPr="0064668F">
        <w:t xml:space="preserve"> unverzüglich </w:t>
      </w:r>
      <w:r w:rsidR="006C2750">
        <w:t>(mind</w:t>
      </w:r>
      <w:r>
        <w:t>estens</w:t>
      </w:r>
      <w:r w:rsidR="006C2750">
        <w:t xml:space="preserve"> T</w:t>
      </w:r>
      <w:r w:rsidR="006C2750" w:rsidRPr="0064668F">
        <w:t>extform</w:t>
      </w:r>
      <w:r w:rsidR="006C2750">
        <w:t>)</w:t>
      </w:r>
      <w:r w:rsidR="006C2750" w:rsidRPr="0064668F">
        <w:t xml:space="preserve">. </w:t>
      </w:r>
    </w:p>
    <w:p w14:paraId="01F538E9" w14:textId="06754E97" w:rsidR="008110F5" w:rsidRDefault="006C2750" w:rsidP="00A243F7">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14:paraId="6B08BA09" w14:textId="77777777" w:rsidR="006C2750" w:rsidRPr="00F16765" w:rsidRDefault="006C2750" w:rsidP="00A243F7">
      <w:pPr>
        <w:pStyle w:val="berschrift2"/>
        <w:rPr>
          <w:b/>
          <w:color w:val="000000" w:themeColor="text1"/>
        </w:rPr>
      </w:pPr>
      <w:r w:rsidRPr="00F16765">
        <w:rPr>
          <w:b/>
          <w:color w:val="000000" w:themeColor="text1"/>
        </w:rPr>
        <w:t>10. Löschung und Rückgabe von personenbezogenen Daten</w:t>
      </w:r>
    </w:p>
    <w:p w14:paraId="48D5CE79" w14:textId="77777777" w:rsidR="00FB3BCA" w:rsidRDefault="00FB3BCA" w:rsidP="00A243F7">
      <w:pPr>
        <w:autoSpaceDE w:val="0"/>
        <w:autoSpaceDN w:val="0"/>
        <w:adjustRightInd w:val="0"/>
        <w:spacing w:after="0"/>
        <w:rPr>
          <w:rFonts w:ascii="Calibri" w:eastAsia="Times New Roman" w:hAnsi="Calibri" w:cs="Arial"/>
        </w:rPr>
      </w:pPr>
    </w:p>
    <w:p w14:paraId="4D5EE4AD" w14:textId="77777777" w:rsidR="00FB3BCA" w:rsidRDefault="006C2750" w:rsidP="00A243F7">
      <w:pPr>
        <w:rPr>
          <w:rFonts w:ascii="Calibri" w:eastAsia="Times New Roman" w:hAnsi="Calibri" w:cs="Arial"/>
        </w:rPr>
      </w:pPr>
      <w:r>
        <w:rPr>
          <w:rFonts w:ascii="Calibri" w:eastAsia="Times New Roman" w:hAnsi="Calibri"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Datenverarbeitung erforderlich sind, sowie Daten, die im Hinblick auf die Einhaltung gesetzlicher Aufbewahrungspflichten erforderlich sind.</w:t>
      </w:r>
    </w:p>
    <w:p w14:paraId="4C77B031" w14:textId="77777777" w:rsidR="00FB3BCA" w:rsidRDefault="006C2750" w:rsidP="00A243F7">
      <w:pPr>
        <w:rPr>
          <w:rFonts w:ascii="Calibri" w:eastAsia="Times New Roman" w:hAnsi="Calibri" w:cs="Arial"/>
        </w:rPr>
      </w:pPr>
      <w:r>
        <w:rPr>
          <w:rFonts w:ascii="Calibri" w:eastAsia="Times New Roman" w:hAnsi="Calibri" w:cs="Arial"/>
        </w:rPr>
        <w:t xml:space="preserve">(2) </w:t>
      </w:r>
      <w:r w:rsidRPr="0064668F">
        <w:rPr>
          <w:rFonts w:ascii="Calibri" w:eastAsia="Times New Roman" w:hAnsi="Calibri" w:cs="Arial"/>
        </w:rPr>
        <w:t xml:space="preserve">Nach Abschluss der vertraglich vereinbarten Arbeiten oder früher nach Aufforderung durch den </w:t>
      </w:r>
      <w:r>
        <w:rPr>
          <w:rFonts w:ascii="Calibri" w:eastAsia="Times New Roman" w:hAnsi="Calibri" w:cs="Arial"/>
        </w:rPr>
        <w:t>Auftraggeber</w:t>
      </w:r>
      <w:r w:rsidRPr="0064668F">
        <w:rPr>
          <w:rFonts w:ascii="Calibri" w:eastAsia="Times New Roman" w:hAnsi="Calibri" w:cs="Arial"/>
        </w:rPr>
        <w:t xml:space="preserve"> – spätestens mit Beendigung der Leistungsvereinbarung</w:t>
      </w:r>
      <w:r>
        <w:rPr>
          <w:rFonts w:ascii="Calibri" w:eastAsia="Times New Roman" w:hAnsi="Calibri" w:cs="Arial"/>
        </w:rPr>
        <w:t xml:space="preserve"> – hat der Auftragnehmer</w:t>
      </w:r>
      <w:r w:rsidRPr="0064668F">
        <w:rPr>
          <w:rFonts w:ascii="Calibri" w:eastAsia="Times New Roman" w:hAnsi="Calibri" w:cs="Arial"/>
        </w:rPr>
        <w:t xml:space="preserve"> sämtliche in seinen Besitz gelangten Unterlagen, erstellte Verarbeitungs- und Nutzungsergebnisse sowie Datenbestände, die im Zusammenhang mit dem Auftragsverhältni</w:t>
      </w:r>
      <w:r>
        <w:rPr>
          <w:rFonts w:ascii="Calibri" w:eastAsia="Times New Roman" w:hAnsi="Calibri" w:cs="Arial"/>
        </w:rPr>
        <w:t>s stehen, dem Auftraggeber</w:t>
      </w:r>
      <w:r w:rsidRPr="0064668F">
        <w:rPr>
          <w:rFonts w:ascii="Calibri" w:eastAsia="Times New Roman" w:hAnsi="Calibri" w:cs="Arial"/>
        </w:rPr>
        <w:t xml:space="preserve"> auszuhändigen oder nach vorheriger Zustimmung datenschutzgerecht zu vernichten. Gleiches gilt für Test- und Ausschussmaterial. Das Protokoll der Löschung ist auf Anforderung vorzulegen. </w:t>
      </w:r>
    </w:p>
    <w:p w14:paraId="26AF1E7F" w14:textId="77777777" w:rsidR="006C2750" w:rsidRDefault="006C2750" w:rsidP="00A243F7">
      <w:pPr>
        <w:rPr>
          <w:rFonts w:ascii="Calibri" w:eastAsia="Times New Roman" w:hAnsi="Calibri" w:cs="Arial"/>
        </w:rPr>
      </w:pPr>
      <w:r>
        <w:rPr>
          <w:rFonts w:ascii="Calibri" w:eastAsia="Times New Roman" w:hAnsi="Calibri" w:cs="Arial"/>
        </w:rPr>
        <w:t xml:space="preserve">(3) </w:t>
      </w:r>
      <w:r w:rsidRPr="0064668F">
        <w:rPr>
          <w:rFonts w:ascii="Calibri" w:eastAsia="Times New Roman" w:hAnsi="Calibri" w:cs="Arial"/>
        </w:rPr>
        <w:t>Dokumentationen, die dem Nachweis der auftrags- und ordnungsgemäßen Datenverarbeitung dienen, sind</w:t>
      </w:r>
      <w:r>
        <w:rPr>
          <w:rFonts w:ascii="Calibri" w:eastAsia="Times New Roman" w:hAnsi="Calibri" w:cs="Arial"/>
        </w:rPr>
        <w:t xml:space="preserve"> durch den Auftragnehmer</w:t>
      </w:r>
      <w:r w:rsidRPr="0064668F">
        <w:rPr>
          <w:rFonts w:ascii="Calibri" w:eastAsia="Times New Roman" w:hAnsi="Calibri" w:cs="Arial"/>
        </w:rPr>
        <w:t xml:space="preserve"> entsprechend der jeweiligen Aufbewahrungsfristen über das Vertragsende hinaus aufzubewahren. Er kann sie zu seiner Entlastung bei Ver</w:t>
      </w:r>
      <w:r>
        <w:rPr>
          <w:rFonts w:ascii="Calibri" w:eastAsia="Times New Roman" w:hAnsi="Calibri" w:cs="Arial"/>
        </w:rPr>
        <w:t>tragsende dem Auftraggeber</w:t>
      </w:r>
      <w:r w:rsidRPr="0064668F">
        <w:rPr>
          <w:rFonts w:ascii="Calibri" w:eastAsia="Times New Roman" w:hAnsi="Calibri" w:cs="Arial"/>
        </w:rPr>
        <w:t xml:space="preserve"> übergeben.</w:t>
      </w:r>
    </w:p>
    <w:p w14:paraId="2731A7AF" w14:textId="77777777" w:rsidR="00A243F7" w:rsidRDefault="00A243F7" w:rsidP="00A243F7">
      <w:pPr>
        <w:rPr>
          <w:rFonts w:ascii="Calibri" w:eastAsia="Times New Roman" w:hAnsi="Calibri" w:cs="Arial"/>
        </w:rPr>
      </w:pPr>
    </w:p>
    <w:p w14:paraId="36FAAB3C" w14:textId="4CD854D1" w:rsidR="00A243F7" w:rsidRDefault="00A243F7" w:rsidP="00A243F7">
      <w:pPr>
        <w:rPr>
          <w:rFonts w:ascii="Calibri" w:eastAsia="Times New Roman" w:hAnsi="Calibri" w:cs="Arial"/>
        </w:rPr>
      </w:pPr>
      <w:r>
        <w:rPr>
          <w:rFonts w:ascii="Calibri" w:eastAsia="Times New Roman" w:hAnsi="Calibri" w:cs="Arial"/>
        </w:rPr>
        <w:t xml:space="preserve">Stand: </w:t>
      </w:r>
      <w:r w:rsidR="00D31194">
        <w:rPr>
          <w:rFonts w:ascii="Calibri" w:eastAsia="Times New Roman" w:hAnsi="Calibri" w:cs="Arial"/>
        </w:rPr>
        <w:t>11</w:t>
      </w:r>
      <w:r w:rsidR="00D01D31">
        <w:rPr>
          <w:rFonts w:ascii="Calibri" w:eastAsia="Times New Roman" w:hAnsi="Calibri" w:cs="Arial"/>
        </w:rPr>
        <w:t>.11.2020</w:t>
      </w:r>
    </w:p>
    <w:p w14:paraId="4987DB49" w14:textId="77777777" w:rsidR="00A243F7" w:rsidRDefault="00A243F7" w:rsidP="00A243F7">
      <w:pPr>
        <w:rPr>
          <w:rFonts w:ascii="Calibri" w:eastAsia="Times New Roman" w:hAnsi="Calibri" w:cs="Arial"/>
        </w:rPr>
      </w:pPr>
    </w:p>
    <w:p w14:paraId="7BF46C16" w14:textId="32CE2BC5" w:rsidR="00A243F7" w:rsidRDefault="009A0BC0" w:rsidP="00A243F7">
      <w:pPr>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t>Ingo List</w:t>
      </w:r>
    </w:p>
    <w:p w14:paraId="6AE38FC3" w14:textId="77777777" w:rsidR="00A243F7" w:rsidRDefault="00A243F7" w:rsidP="00A243F7">
      <w:pPr>
        <w:rPr>
          <w:rFonts w:ascii="Calibri" w:eastAsia="Times New Roman" w:hAnsi="Calibri" w:cs="Arial"/>
        </w:rPr>
      </w:pPr>
      <w:r>
        <w:rPr>
          <w:rFonts w:ascii="Calibri" w:eastAsia="Times New Roman" w:hAnsi="Calibri" w:cs="Arial"/>
        </w:rPr>
        <w:t>_______________________________</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Pr="00A243F7">
        <w:rPr>
          <w:rFonts w:ascii="Calibri" w:eastAsia="Times New Roman" w:hAnsi="Calibri" w:cs="Arial"/>
        </w:rPr>
        <w:t>_______________________________</w:t>
      </w:r>
    </w:p>
    <w:p w14:paraId="370F0AC6" w14:textId="77777777" w:rsidR="00A243F7" w:rsidRDefault="00A243F7" w:rsidP="00A243F7">
      <w:pPr>
        <w:rPr>
          <w:rFonts w:ascii="Calibri" w:eastAsia="Times New Roman" w:hAnsi="Calibri" w:cs="Arial"/>
        </w:rPr>
      </w:pPr>
      <w:r>
        <w:rPr>
          <w:rFonts w:ascii="Calibri" w:eastAsia="Times New Roman" w:hAnsi="Calibri" w:cs="Arial"/>
        </w:rPr>
        <w:t xml:space="preserve">      </w:t>
      </w:r>
      <w:bookmarkStart w:id="0" w:name="_Hlk512438643"/>
      <w:r>
        <w:rPr>
          <w:rFonts w:ascii="Calibri" w:eastAsia="Times New Roman" w:hAnsi="Calibri" w:cs="Arial"/>
        </w:rPr>
        <w:t xml:space="preserve">Unterschrift des </w:t>
      </w:r>
      <w:r w:rsidRPr="00A243F7">
        <w:rPr>
          <w:rFonts w:ascii="Calibri" w:eastAsia="Times New Roman" w:hAnsi="Calibri" w:cs="Arial"/>
        </w:rPr>
        <w:t>Auftraggebers</w:t>
      </w:r>
      <w:bookmarkEnd w:id="0"/>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t xml:space="preserve">    </w:t>
      </w:r>
      <w:r w:rsidRPr="00A243F7">
        <w:rPr>
          <w:rFonts w:ascii="Calibri" w:eastAsia="Times New Roman" w:hAnsi="Calibri" w:cs="Arial"/>
        </w:rPr>
        <w:t>Unterschrift des Auftrag</w:t>
      </w:r>
      <w:r>
        <w:rPr>
          <w:rFonts w:ascii="Calibri" w:eastAsia="Times New Roman" w:hAnsi="Calibri" w:cs="Arial"/>
        </w:rPr>
        <w:t>nehmer</w:t>
      </w:r>
      <w:r w:rsidRPr="00A243F7">
        <w:rPr>
          <w:rFonts w:ascii="Calibri" w:eastAsia="Times New Roman" w:hAnsi="Calibri" w:cs="Arial"/>
        </w:rPr>
        <w:t>s</w:t>
      </w:r>
    </w:p>
    <w:p w14:paraId="2FE58666" w14:textId="77777777" w:rsidR="00EC1D8C" w:rsidRDefault="00EC1D8C">
      <w:pPr>
        <w:rPr>
          <w:rFonts w:asciiTheme="majorHAnsi" w:eastAsia="Times New Roman" w:hAnsiTheme="majorHAnsi" w:cstheme="majorBidi"/>
          <w:b/>
          <w:color w:val="000000" w:themeColor="text1"/>
          <w:sz w:val="28"/>
          <w:szCs w:val="28"/>
        </w:rPr>
      </w:pPr>
      <w:bookmarkStart w:id="1" w:name="_Hlk512435645"/>
      <w:r>
        <w:rPr>
          <w:rFonts w:eastAsia="Times New Roman"/>
          <w:b/>
          <w:color w:val="000000" w:themeColor="text1"/>
          <w:sz w:val="28"/>
          <w:szCs w:val="28"/>
        </w:rPr>
        <w:br w:type="page"/>
      </w:r>
    </w:p>
    <w:p w14:paraId="155A78EE" w14:textId="2E8498C5" w:rsidR="00C569A1" w:rsidRDefault="00C569A1" w:rsidP="00C569A1">
      <w:pPr>
        <w:pStyle w:val="berschrift1"/>
        <w:rPr>
          <w:rFonts w:eastAsia="Times New Roman"/>
          <w:b/>
          <w:color w:val="000000" w:themeColor="text1"/>
          <w:sz w:val="28"/>
          <w:szCs w:val="28"/>
        </w:rPr>
      </w:pPr>
      <w:r>
        <w:rPr>
          <w:rFonts w:eastAsia="Times New Roman"/>
          <w:b/>
          <w:color w:val="000000" w:themeColor="text1"/>
          <w:sz w:val="28"/>
          <w:szCs w:val="28"/>
        </w:rPr>
        <w:lastRenderedPageBreak/>
        <w:t>Anlage 1 – Technisch-</w:t>
      </w:r>
      <w:bookmarkEnd w:id="1"/>
      <w:r>
        <w:rPr>
          <w:rFonts w:eastAsia="Times New Roman"/>
          <w:b/>
          <w:color w:val="000000" w:themeColor="text1"/>
          <w:sz w:val="28"/>
          <w:szCs w:val="28"/>
        </w:rPr>
        <w:t>organisatorische Maßnahmen</w:t>
      </w:r>
    </w:p>
    <w:p w14:paraId="4ADDFFAD" w14:textId="77777777" w:rsidR="00C569A1" w:rsidRDefault="00C569A1" w:rsidP="00C569A1">
      <w:pPr>
        <w:pStyle w:val="berschrift2"/>
        <w:rPr>
          <w:b/>
          <w:color w:val="000000" w:themeColor="text1"/>
          <w:sz w:val="24"/>
          <w:szCs w:val="24"/>
        </w:rPr>
      </w:pPr>
      <w:r>
        <w:rPr>
          <w:b/>
          <w:color w:val="000000" w:themeColor="text1"/>
          <w:sz w:val="24"/>
          <w:szCs w:val="24"/>
        </w:rPr>
        <w:t>1. Vertraulichkeit (Art. 32 Abs. 1 lit. b DS-GVO)</w:t>
      </w:r>
    </w:p>
    <w:p w14:paraId="41A6790C" w14:textId="77777777" w:rsidR="00C569A1" w:rsidRDefault="00C569A1" w:rsidP="00C569A1">
      <w:pPr>
        <w:numPr>
          <w:ilvl w:val="0"/>
          <w:numId w:val="32"/>
        </w:numPr>
        <w:spacing w:after="0" w:line="240" w:lineRule="auto"/>
      </w:pPr>
      <w:r>
        <w:t>Zutrittskontrolle</w:t>
      </w:r>
      <w:r>
        <w:br/>
        <w:t>Kein unbefugter Zutritt zu Datenverarbeitungsanlagen durch Schlüssel, elektrische Türöffner und Alarmanlagen</w:t>
      </w:r>
    </w:p>
    <w:p w14:paraId="2A7E9C19" w14:textId="77777777" w:rsidR="00C569A1" w:rsidRDefault="00C569A1" w:rsidP="00C569A1">
      <w:pPr>
        <w:numPr>
          <w:ilvl w:val="0"/>
          <w:numId w:val="32"/>
        </w:numPr>
        <w:spacing w:after="0" w:line="240" w:lineRule="auto"/>
      </w:pPr>
      <w:r>
        <w:t>Zugangskontrolle</w:t>
      </w:r>
      <w:r>
        <w:br/>
        <w:t>Keine unbefugte Systembenutzung durch sichere Kennwörter, automatische Sperrmechanismen und Verschlüsselung von Datenträgern</w:t>
      </w:r>
    </w:p>
    <w:p w14:paraId="563743A5" w14:textId="77777777" w:rsidR="00C569A1" w:rsidRDefault="00C569A1" w:rsidP="00C569A1">
      <w:pPr>
        <w:numPr>
          <w:ilvl w:val="0"/>
          <w:numId w:val="32"/>
        </w:numPr>
        <w:spacing w:after="0" w:line="240" w:lineRule="auto"/>
      </w:pPr>
      <w:r>
        <w:t>Zugriffskontrolle</w:t>
      </w:r>
      <w:r>
        <w:br/>
        <w:t>Kein unbefugtes Lesen, Kopieren, Verändern oder Entfernen innerhalb des Systems durch Berechtigungskonzepte, bedarfsgerechte Zugriffsrechte und Protokollierung von Zugriffen</w:t>
      </w:r>
    </w:p>
    <w:p w14:paraId="212B059B" w14:textId="77777777" w:rsidR="00C569A1" w:rsidRDefault="00C569A1" w:rsidP="00C569A1">
      <w:pPr>
        <w:numPr>
          <w:ilvl w:val="0"/>
          <w:numId w:val="32"/>
        </w:numPr>
        <w:spacing w:after="0" w:line="240" w:lineRule="auto"/>
      </w:pPr>
      <w:r>
        <w:t>Trennungskontrolle</w:t>
      </w:r>
      <w:r>
        <w:br/>
        <w:t>Getrennte Verarbeitung von Daten, die zu unterschiedlichen Zwecken erhoben wurden, durch Mandantenfähigkeit und in bestimmten Bereichen Application Sandboxing</w:t>
      </w:r>
    </w:p>
    <w:p w14:paraId="0A82DE08" w14:textId="77777777" w:rsidR="00C569A1" w:rsidRDefault="00C569A1" w:rsidP="00C569A1">
      <w:pPr>
        <w:numPr>
          <w:ilvl w:val="0"/>
          <w:numId w:val="32"/>
        </w:numPr>
        <w:spacing w:after="0" w:line="240" w:lineRule="auto"/>
      </w:pPr>
      <w:r>
        <w:t>Pseudonymisierung (Art. 32 Abs. 1 lit. a DS-GVO; Art. 25 Abs. 1 DS-GVO)</w:t>
      </w:r>
      <w: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598CA0C3" w14:textId="77777777" w:rsidR="00C569A1" w:rsidRDefault="00C569A1" w:rsidP="00C569A1"/>
    <w:p w14:paraId="03003A1A" w14:textId="77777777" w:rsidR="00C569A1" w:rsidRDefault="00C569A1" w:rsidP="00C569A1">
      <w:pPr>
        <w:pStyle w:val="berschrift2"/>
        <w:rPr>
          <w:b/>
          <w:color w:val="000000" w:themeColor="text1"/>
          <w:sz w:val="24"/>
          <w:szCs w:val="24"/>
        </w:rPr>
      </w:pPr>
      <w:r>
        <w:rPr>
          <w:b/>
          <w:color w:val="000000" w:themeColor="text1"/>
          <w:sz w:val="24"/>
          <w:szCs w:val="24"/>
        </w:rPr>
        <w:t>2. Integrität (Art. 32 Abs. 1 lit. b DS-GVO)</w:t>
      </w:r>
    </w:p>
    <w:p w14:paraId="3AC1A215" w14:textId="77777777" w:rsidR="00C569A1" w:rsidRDefault="00C569A1" w:rsidP="00C569A1">
      <w:pPr>
        <w:numPr>
          <w:ilvl w:val="0"/>
          <w:numId w:val="32"/>
        </w:numPr>
        <w:spacing w:after="0" w:line="240" w:lineRule="auto"/>
      </w:pPr>
      <w:r>
        <w:t>Weitergabekontrolle</w:t>
      </w:r>
      <w:r>
        <w:br/>
        <w:t>Kein unbefugtes Lesen, Kopieren, Verändern oder Entfernen bei elektronischer Übertragung oder Transport durch Verschlüsselung und Pseudonymisierung</w:t>
      </w:r>
    </w:p>
    <w:p w14:paraId="3173C0AC" w14:textId="77777777" w:rsidR="00C569A1" w:rsidRDefault="00C569A1" w:rsidP="00C569A1">
      <w:pPr>
        <w:numPr>
          <w:ilvl w:val="0"/>
          <w:numId w:val="32"/>
        </w:numPr>
        <w:spacing w:after="0" w:line="240" w:lineRule="auto"/>
      </w:pPr>
      <w:r>
        <w:t>Eingabekontrolle</w:t>
      </w:r>
      <w:r>
        <w:br/>
        <w:t>Feststellung, ob und von wem personenbezogene Daten in Datenverarbeitungssysteme eingegeben, verändert oder entfernt worden sind durch Protokollierung und Dokumentenmanagement</w:t>
      </w:r>
    </w:p>
    <w:p w14:paraId="40B34413" w14:textId="77777777" w:rsidR="00C569A1" w:rsidRDefault="00C569A1" w:rsidP="00C569A1"/>
    <w:p w14:paraId="38477295" w14:textId="77777777" w:rsidR="00C569A1" w:rsidRDefault="00C569A1" w:rsidP="00C569A1">
      <w:pPr>
        <w:pStyle w:val="berschrift2"/>
        <w:rPr>
          <w:b/>
          <w:sz w:val="24"/>
          <w:szCs w:val="24"/>
        </w:rPr>
      </w:pPr>
      <w:r>
        <w:rPr>
          <w:b/>
          <w:color w:val="000000" w:themeColor="text1"/>
          <w:sz w:val="24"/>
          <w:szCs w:val="24"/>
        </w:rPr>
        <w:t>3. Verfügbarkeit und Belastbarkeit (Art. 32 Abs. 1 lit. b DS-GVO)</w:t>
      </w:r>
    </w:p>
    <w:p w14:paraId="28038443" w14:textId="77777777" w:rsidR="00C569A1" w:rsidRDefault="00C569A1" w:rsidP="00C569A1">
      <w:pPr>
        <w:numPr>
          <w:ilvl w:val="0"/>
          <w:numId w:val="32"/>
        </w:numPr>
        <w:spacing w:after="0" w:line="240" w:lineRule="auto"/>
        <w:jc w:val="both"/>
      </w:pPr>
      <w:r>
        <w:t>Verfügbarkeitskontrolle</w:t>
      </w:r>
      <w:r>
        <w:br/>
        <w:t>Schutz gegen zufällige oder mutwillige Zerstörung bzw. Verlust durch ausgefeilte Backup-Strategie mit unterbrechungsfreier Stromversorgung (USV), Virenschutz, Firewall, Meldewege und Notfallpläne</w:t>
      </w:r>
    </w:p>
    <w:p w14:paraId="29F5D8C8" w14:textId="77777777" w:rsidR="00C569A1" w:rsidRDefault="00C569A1" w:rsidP="00C569A1">
      <w:pPr>
        <w:numPr>
          <w:ilvl w:val="0"/>
          <w:numId w:val="32"/>
        </w:numPr>
        <w:spacing w:after="0" w:line="240" w:lineRule="auto"/>
        <w:jc w:val="both"/>
      </w:pPr>
      <w:r>
        <w:t>Rasche Wiederherstellbarkeit (Art. 32 Abs. 1 lit. c DS-GVO)</w:t>
      </w:r>
    </w:p>
    <w:p w14:paraId="578A2D59" w14:textId="77777777" w:rsidR="00C569A1" w:rsidRDefault="00C569A1" w:rsidP="00C569A1"/>
    <w:p w14:paraId="6AFA8E1D" w14:textId="77777777" w:rsidR="00C569A1" w:rsidRDefault="00C569A1" w:rsidP="00C569A1">
      <w:pPr>
        <w:pStyle w:val="berschrift2"/>
        <w:rPr>
          <w:b/>
          <w:color w:val="000000" w:themeColor="text1"/>
          <w:sz w:val="24"/>
          <w:szCs w:val="24"/>
        </w:rPr>
      </w:pPr>
      <w:r>
        <w:rPr>
          <w:b/>
          <w:color w:val="000000" w:themeColor="text1"/>
          <w:sz w:val="24"/>
          <w:szCs w:val="24"/>
        </w:rPr>
        <w:t>4. Verfahren zur regelmäßigen Überprüfung, Bewertung und Evaluierung (Art. 32 Abs. 1 lit. d DS-GVO; Art. 25 Abs. 1 DS-GVO)</w:t>
      </w:r>
    </w:p>
    <w:p w14:paraId="292AE61F" w14:textId="77777777" w:rsidR="00C569A1" w:rsidRDefault="00C569A1" w:rsidP="00C569A1">
      <w:pPr>
        <w:numPr>
          <w:ilvl w:val="0"/>
          <w:numId w:val="32"/>
        </w:numPr>
        <w:spacing w:after="0" w:line="240" w:lineRule="auto"/>
        <w:jc w:val="both"/>
      </w:pPr>
      <w:r>
        <w:t>Datenschutz-Management</w:t>
      </w:r>
    </w:p>
    <w:p w14:paraId="6DCB0934" w14:textId="77777777" w:rsidR="00C569A1" w:rsidRDefault="00C569A1" w:rsidP="00C569A1">
      <w:pPr>
        <w:numPr>
          <w:ilvl w:val="0"/>
          <w:numId w:val="32"/>
        </w:numPr>
        <w:spacing w:after="0" w:line="240" w:lineRule="auto"/>
        <w:jc w:val="both"/>
      </w:pPr>
      <w:r>
        <w:t>Incident-Response-Management</w:t>
      </w:r>
    </w:p>
    <w:p w14:paraId="212CF6D8" w14:textId="77777777" w:rsidR="00C569A1" w:rsidRDefault="00C569A1" w:rsidP="00C569A1">
      <w:pPr>
        <w:numPr>
          <w:ilvl w:val="0"/>
          <w:numId w:val="32"/>
        </w:numPr>
        <w:spacing w:after="0" w:line="240" w:lineRule="auto"/>
        <w:jc w:val="both"/>
      </w:pPr>
      <w:r>
        <w:t>Datenschutzfreundliche Voreinstellungen (Art. 25 Abs. 2 DS-GVO);</w:t>
      </w:r>
    </w:p>
    <w:p w14:paraId="5506861F" w14:textId="77777777" w:rsidR="00C569A1" w:rsidRDefault="00C569A1" w:rsidP="00C569A1">
      <w:pPr>
        <w:numPr>
          <w:ilvl w:val="0"/>
          <w:numId w:val="32"/>
        </w:numPr>
        <w:spacing w:after="0" w:line="240" w:lineRule="auto"/>
        <w:jc w:val="both"/>
      </w:pPr>
      <w:r>
        <w:t>Auftragskontrolle</w:t>
      </w:r>
      <w:r>
        <w:br/>
        <w:t>Keine Auftragsdatenverarbeitung im Sinne von Art. 28 DS-GVO ohne entsprechende Weisung des Auftraggebers, z.B.: Eindeutige Vertragsgestaltung, formalisiertes Auftragsmanagement, strenge Auswahl des Dienstleisters, Vorabüberzeugungspflicht und ständige Nachkontrollen</w:t>
      </w:r>
    </w:p>
    <w:p w14:paraId="7654424D" w14:textId="77777777" w:rsidR="009D0731" w:rsidRDefault="009D0731" w:rsidP="009D0731">
      <w:r>
        <w:br w:type="page"/>
      </w:r>
    </w:p>
    <w:p w14:paraId="19808B85" w14:textId="77777777" w:rsidR="006C2750" w:rsidRDefault="009D0731" w:rsidP="009D0731">
      <w:pPr>
        <w:spacing w:after="0" w:line="240" w:lineRule="auto"/>
        <w:jc w:val="both"/>
        <w:rPr>
          <w:rFonts w:asciiTheme="majorHAnsi" w:eastAsia="Times New Roman" w:hAnsiTheme="majorHAnsi" w:cstheme="majorHAnsi"/>
          <w:b/>
          <w:sz w:val="28"/>
          <w:szCs w:val="28"/>
        </w:rPr>
      </w:pPr>
      <w:r w:rsidRPr="009E6757">
        <w:rPr>
          <w:rFonts w:asciiTheme="majorHAnsi" w:eastAsia="Times New Roman" w:hAnsiTheme="majorHAnsi" w:cstheme="majorHAnsi"/>
          <w:b/>
          <w:sz w:val="28"/>
          <w:szCs w:val="28"/>
        </w:rPr>
        <w:lastRenderedPageBreak/>
        <w:t xml:space="preserve">Anlage 2 </w:t>
      </w:r>
      <w:r w:rsidR="00D420F6">
        <w:rPr>
          <w:rFonts w:asciiTheme="majorHAnsi" w:eastAsia="Times New Roman" w:hAnsiTheme="majorHAnsi" w:cstheme="majorHAnsi"/>
          <w:b/>
          <w:sz w:val="28"/>
          <w:szCs w:val="28"/>
        </w:rPr>
        <w:t>–</w:t>
      </w:r>
      <w:r w:rsidRPr="009E6757">
        <w:rPr>
          <w:rFonts w:asciiTheme="majorHAnsi" w:eastAsia="Times New Roman" w:hAnsiTheme="majorHAnsi" w:cstheme="majorHAnsi"/>
          <w:b/>
          <w:sz w:val="28"/>
          <w:szCs w:val="28"/>
        </w:rPr>
        <w:t xml:space="preserve"> Unterauftragnehmer</w:t>
      </w:r>
    </w:p>
    <w:p w14:paraId="7375376B" w14:textId="77777777" w:rsidR="00D420F6" w:rsidRPr="009E6757" w:rsidRDefault="00D420F6" w:rsidP="009D0731">
      <w:pPr>
        <w:spacing w:after="0" w:line="240" w:lineRule="auto"/>
        <w:jc w:val="both"/>
        <w:rPr>
          <w:rFonts w:asciiTheme="majorHAnsi" w:hAnsiTheme="majorHAnsi" w:cstheme="majorHAnsi"/>
          <w:b/>
          <w:sz w:val="28"/>
          <w:szCs w:val="28"/>
        </w:rPr>
      </w:pPr>
    </w:p>
    <w:tbl>
      <w:tblPr>
        <w:tblStyle w:val="Tabellenraster"/>
        <w:tblW w:w="9498" w:type="dxa"/>
        <w:tblInd w:w="-5" w:type="dxa"/>
        <w:tblLayout w:type="fixed"/>
        <w:tblLook w:val="04A0" w:firstRow="1" w:lastRow="0" w:firstColumn="1" w:lastColumn="0" w:noHBand="0" w:noVBand="1"/>
      </w:tblPr>
      <w:tblGrid>
        <w:gridCol w:w="2694"/>
        <w:gridCol w:w="2835"/>
        <w:gridCol w:w="3969"/>
      </w:tblGrid>
      <w:tr w:rsidR="00D420F6" w:rsidRPr="00876E82" w14:paraId="5BC6B2CF" w14:textId="77777777" w:rsidTr="008110F5">
        <w:tc>
          <w:tcPr>
            <w:tcW w:w="2694" w:type="dxa"/>
            <w:tcBorders>
              <w:top w:val="single" w:sz="4" w:space="0" w:color="auto"/>
              <w:left w:val="single" w:sz="4" w:space="0" w:color="auto"/>
              <w:bottom w:val="single" w:sz="4" w:space="0" w:color="auto"/>
              <w:right w:val="single" w:sz="4" w:space="0" w:color="auto"/>
            </w:tcBorders>
          </w:tcPr>
          <w:p w14:paraId="72DBF65C" w14:textId="77777777" w:rsidR="00D420F6" w:rsidRPr="00F07CF5" w:rsidRDefault="00D420F6" w:rsidP="00A43663">
            <w:pPr>
              <w:jc w:val="both"/>
              <w:rPr>
                <w:rFonts w:eastAsia="Times New Roman" w:cstheme="minorHAnsi"/>
                <w:b/>
              </w:rPr>
            </w:pPr>
            <w:bookmarkStart w:id="2" w:name="_Hlk512435414"/>
            <w:r w:rsidRPr="00F07CF5">
              <w:rPr>
                <w:rFonts w:eastAsia="Times New Roman" w:cstheme="minorHAnsi"/>
                <w:b/>
              </w:rPr>
              <w:t>Firma Unterauftragnehmer</w:t>
            </w:r>
          </w:p>
        </w:tc>
        <w:tc>
          <w:tcPr>
            <w:tcW w:w="2835" w:type="dxa"/>
            <w:tcBorders>
              <w:top w:val="single" w:sz="4" w:space="0" w:color="auto"/>
              <w:left w:val="single" w:sz="4" w:space="0" w:color="auto"/>
              <w:bottom w:val="single" w:sz="4" w:space="0" w:color="auto"/>
              <w:right w:val="single" w:sz="4" w:space="0" w:color="auto"/>
            </w:tcBorders>
          </w:tcPr>
          <w:p w14:paraId="7B87163D" w14:textId="77777777" w:rsidR="00D420F6" w:rsidRPr="00F07CF5" w:rsidRDefault="00D420F6" w:rsidP="00A43663">
            <w:pPr>
              <w:jc w:val="both"/>
              <w:rPr>
                <w:rFonts w:eastAsia="Times New Roman" w:cstheme="minorHAnsi"/>
                <w:b/>
              </w:rPr>
            </w:pPr>
            <w:r w:rsidRPr="00F07CF5">
              <w:rPr>
                <w:rFonts w:eastAsia="Times New Roman" w:cstheme="minorHAnsi"/>
                <w:b/>
              </w:rPr>
              <w:t>Anschrift/Land</w:t>
            </w:r>
          </w:p>
        </w:tc>
        <w:tc>
          <w:tcPr>
            <w:tcW w:w="3969" w:type="dxa"/>
            <w:tcBorders>
              <w:top w:val="single" w:sz="4" w:space="0" w:color="auto"/>
              <w:left w:val="single" w:sz="4" w:space="0" w:color="auto"/>
              <w:bottom w:val="single" w:sz="4" w:space="0" w:color="auto"/>
              <w:right w:val="single" w:sz="4" w:space="0" w:color="auto"/>
            </w:tcBorders>
          </w:tcPr>
          <w:p w14:paraId="086D14E1" w14:textId="77777777" w:rsidR="00D420F6" w:rsidRPr="00F07CF5" w:rsidRDefault="00D420F6" w:rsidP="00A43663">
            <w:pPr>
              <w:jc w:val="both"/>
              <w:rPr>
                <w:rFonts w:eastAsia="Times New Roman" w:cstheme="minorHAnsi"/>
                <w:b/>
              </w:rPr>
            </w:pPr>
            <w:r w:rsidRPr="00F07CF5">
              <w:rPr>
                <w:rFonts w:eastAsia="Times New Roman" w:cstheme="minorHAnsi"/>
                <w:b/>
              </w:rPr>
              <w:t>Leistung</w:t>
            </w:r>
          </w:p>
        </w:tc>
      </w:tr>
      <w:tr w:rsidR="00D420F6" w:rsidRPr="008D593B" w14:paraId="035A2C3D" w14:textId="77777777" w:rsidTr="008110F5">
        <w:tc>
          <w:tcPr>
            <w:tcW w:w="2694" w:type="dxa"/>
            <w:tcBorders>
              <w:top w:val="single" w:sz="4" w:space="0" w:color="auto"/>
              <w:left w:val="single" w:sz="4" w:space="0" w:color="auto"/>
              <w:bottom w:val="single" w:sz="4" w:space="0" w:color="auto"/>
              <w:right w:val="single" w:sz="4" w:space="0" w:color="auto"/>
            </w:tcBorders>
          </w:tcPr>
          <w:p w14:paraId="70C69C71" w14:textId="77777777" w:rsidR="00D420F6" w:rsidRPr="008D593B" w:rsidRDefault="00D420F6" w:rsidP="00A43663">
            <w:pPr>
              <w:jc w:val="both"/>
              <w:rPr>
                <w:rFonts w:eastAsia="Times New Roman" w:cs="Calibri"/>
              </w:rPr>
            </w:pPr>
            <w:r>
              <w:rPr>
                <w:rFonts w:eastAsia="Times New Roman" w:cs="Calibri"/>
              </w:rPr>
              <w:t>NetUse AG</w:t>
            </w:r>
          </w:p>
        </w:tc>
        <w:tc>
          <w:tcPr>
            <w:tcW w:w="2835" w:type="dxa"/>
            <w:tcBorders>
              <w:top w:val="single" w:sz="4" w:space="0" w:color="auto"/>
              <w:left w:val="single" w:sz="4" w:space="0" w:color="auto"/>
              <w:bottom w:val="single" w:sz="4" w:space="0" w:color="auto"/>
              <w:right w:val="single" w:sz="4" w:space="0" w:color="auto"/>
            </w:tcBorders>
          </w:tcPr>
          <w:p w14:paraId="0E6C94D0" w14:textId="77777777" w:rsidR="008110F5" w:rsidRDefault="00D420F6" w:rsidP="00A43663">
            <w:pPr>
              <w:jc w:val="both"/>
              <w:rPr>
                <w:rFonts w:eastAsia="Times New Roman" w:cs="Calibri"/>
              </w:rPr>
            </w:pPr>
            <w:r>
              <w:rPr>
                <w:rFonts w:eastAsia="Times New Roman" w:cs="Calibri"/>
              </w:rPr>
              <w:t>Dr. Hell-Str. 6</w:t>
            </w:r>
          </w:p>
          <w:p w14:paraId="7695A97B" w14:textId="77777777" w:rsidR="008110F5" w:rsidRDefault="00D420F6" w:rsidP="00A43663">
            <w:pPr>
              <w:jc w:val="both"/>
              <w:rPr>
                <w:rFonts w:eastAsia="Times New Roman" w:cs="Calibri"/>
              </w:rPr>
            </w:pPr>
            <w:r>
              <w:rPr>
                <w:rFonts w:eastAsia="Times New Roman" w:cs="Calibri"/>
              </w:rPr>
              <w:t>24107 Kiel</w:t>
            </w:r>
          </w:p>
          <w:p w14:paraId="6693BD2E" w14:textId="77777777" w:rsidR="00D420F6" w:rsidRPr="008D593B" w:rsidRDefault="00D420F6" w:rsidP="00A43663">
            <w:pPr>
              <w:jc w:val="both"/>
              <w:rPr>
                <w:rFonts w:eastAsia="Times New Roman" w:cs="Calibri"/>
              </w:rPr>
            </w:pPr>
            <w:r>
              <w:rPr>
                <w:rFonts w:eastAsia="Times New Roman" w:cs="Calibri"/>
              </w:rPr>
              <w:t>Deutschland</w:t>
            </w:r>
          </w:p>
        </w:tc>
        <w:tc>
          <w:tcPr>
            <w:tcW w:w="3969" w:type="dxa"/>
            <w:tcBorders>
              <w:top w:val="single" w:sz="4" w:space="0" w:color="auto"/>
              <w:left w:val="single" w:sz="4" w:space="0" w:color="auto"/>
              <w:bottom w:val="single" w:sz="4" w:space="0" w:color="auto"/>
              <w:right w:val="single" w:sz="4" w:space="0" w:color="auto"/>
            </w:tcBorders>
          </w:tcPr>
          <w:p w14:paraId="4CCD8452" w14:textId="77777777" w:rsidR="00D420F6" w:rsidRPr="008D593B" w:rsidRDefault="00D420F6" w:rsidP="00A43663">
            <w:pPr>
              <w:jc w:val="both"/>
              <w:rPr>
                <w:rFonts w:eastAsia="Times New Roman" w:cs="Calibri"/>
              </w:rPr>
            </w:pPr>
            <w:r>
              <w:rPr>
                <w:rFonts w:eastAsia="Times New Roman" w:cs="Calibri"/>
              </w:rPr>
              <w:t>Hosting Hochverfügbarkeitsserver</w:t>
            </w:r>
          </w:p>
        </w:tc>
      </w:tr>
      <w:tr w:rsidR="00D420F6" w:rsidRPr="008D593B" w14:paraId="7CC19171" w14:textId="77777777" w:rsidTr="008110F5">
        <w:tc>
          <w:tcPr>
            <w:tcW w:w="2694" w:type="dxa"/>
            <w:tcBorders>
              <w:top w:val="single" w:sz="4" w:space="0" w:color="auto"/>
              <w:left w:val="single" w:sz="4" w:space="0" w:color="auto"/>
              <w:bottom w:val="single" w:sz="4" w:space="0" w:color="auto"/>
              <w:right w:val="single" w:sz="4" w:space="0" w:color="auto"/>
            </w:tcBorders>
          </w:tcPr>
          <w:p w14:paraId="355FC999" w14:textId="77777777" w:rsidR="00D420F6" w:rsidRPr="008D593B" w:rsidRDefault="00D420F6" w:rsidP="00A43663">
            <w:pPr>
              <w:jc w:val="both"/>
              <w:rPr>
                <w:rFonts w:eastAsia="Times New Roman" w:cs="Calibri"/>
              </w:rPr>
            </w:pPr>
            <w:r>
              <w:rPr>
                <w:rFonts w:eastAsia="Times New Roman" w:cs="Calibri"/>
              </w:rPr>
              <w:t>Hetzner Online GmbH</w:t>
            </w:r>
          </w:p>
        </w:tc>
        <w:tc>
          <w:tcPr>
            <w:tcW w:w="2835" w:type="dxa"/>
            <w:tcBorders>
              <w:top w:val="single" w:sz="4" w:space="0" w:color="auto"/>
              <w:left w:val="single" w:sz="4" w:space="0" w:color="auto"/>
              <w:bottom w:val="single" w:sz="4" w:space="0" w:color="auto"/>
              <w:right w:val="single" w:sz="4" w:space="0" w:color="auto"/>
            </w:tcBorders>
          </w:tcPr>
          <w:p w14:paraId="36C5B738" w14:textId="77777777" w:rsidR="008110F5" w:rsidRDefault="00D420F6" w:rsidP="008110F5">
            <w:pPr>
              <w:rPr>
                <w:rFonts w:eastAsia="Times New Roman" w:cs="Calibri"/>
              </w:rPr>
            </w:pPr>
            <w:r>
              <w:rPr>
                <w:rFonts w:eastAsia="Times New Roman" w:cs="Calibri"/>
              </w:rPr>
              <w:t>Industriestr. 25</w:t>
            </w:r>
          </w:p>
          <w:p w14:paraId="5A12A181" w14:textId="77777777" w:rsidR="008110F5" w:rsidRDefault="00D420F6" w:rsidP="008110F5">
            <w:pPr>
              <w:rPr>
                <w:rFonts w:eastAsia="Times New Roman" w:cs="Calibri"/>
              </w:rPr>
            </w:pPr>
            <w:r>
              <w:rPr>
                <w:rFonts w:eastAsia="Times New Roman" w:cs="Calibri"/>
              </w:rPr>
              <w:t>91710 Gunzenhausen</w:t>
            </w:r>
          </w:p>
          <w:p w14:paraId="17CABA9E" w14:textId="77777777" w:rsidR="00D420F6" w:rsidRPr="008D593B" w:rsidRDefault="008110F5" w:rsidP="008110F5">
            <w:pPr>
              <w:rPr>
                <w:rFonts w:eastAsia="Times New Roman" w:cs="Calibri"/>
              </w:rPr>
            </w:pPr>
            <w:r>
              <w:rPr>
                <w:rFonts w:eastAsia="Times New Roman" w:cs="Calibri"/>
              </w:rPr>
              <w:t>D</w:t>
            </w:r>
            <w:r w:rsidR="00D420F6">
              <w:rPr>
                <w:rFonts w:eastAsia="Times New Roman" w:cs="Calibri"/>
              </w:rPr>
              <w:t>eutschland</w:t>
            </w:r>
          </w:p>
        </w:tc>
        <w:tc>
          <w:tcPr>
            <w:tcW w:w="3969" w:type="dxa"/>
            <w:tcBorders>
              <w:top w:val="single" w:sz="4" w:space="0" w:color="auto"/>
              <w:left w:val="single" w:sz="4" w:space="0" w:color="auto"/>
              <w:bottom w:val="single" w:sz="4" w:space="0" w:color="auto"/>
              <w:right w:val="single" w:sz="4" w:space="0" w:color="auto"/>
            </w:tcBorders>
          </w:tcPr>
          <w:p w14:paraId="5765F053" w14:textId="77777777" w:rsidR="00D420F6" w:rsidRPr="008D593B" w:rsidRDefault="00D420F6" w:rsidP="00A43663">
            <w:pPr>
              <w:jc w:val="both"/>
              <w:rPr>
                <w:rFonts w:eastAsia="Times New Roman" w:cs="Calibri"/>
              </w:rPr>
            </w:pPr>
            <w:r>
              <w:rPr>
                <w:rFonts w:eastAsia="Times New Roman" w:cs="Calibri"/>
              </w:rPr>
              <w:t xml:space="preserve">Hosting </w:t>
            </w:r>
          </w:p>
        </w:tc>
      </w:tr>
      <w:tr w:rsidR="006E3FA7" w:rsidRPr="008D593B" w14:paraId="09074EF4" w14:textId="77777777" w:rsidTr="008110F5">
        <w:tc>
          <w:tcPr>
            <w:tcW w:w="2694" w:type="dxa"/>
            <w:tcBorders>
              <w:top w:val="single" w:sz="4" w:space="0" w:color="auto"/>
              <w:left w:val="single" w:sz="4" w:space="0" w:color="auto"/>
              <w:bottom w:val="single" w:sz="4" w:space="0" w:color="auto"/>
              <w:right w:val="single" w:sz="4" w:space="0" w:color="auto"/>
            </w:tcBorders>
          </w:tcPr>
          <w:p w14:paraId="15244A60" w14:textId="02B8DD76" w:rsidR="006E3FA7" w:rsidRDefault="006E3FA7" w:rsidP="004171B2">
            <w:pPr>
              <w:rPr>
                <w:rFonts w:eastAsia="Times New Roman" w:cs="Calibri"/>
              </w:rPr>
            </w:pPr>
            <w:r>
              <w:rPr>
                <w:rFonts w:eastAsia="Times New Roman" w:cs="Calibri"/>
              </w:rPr>
              <w:t>T-Systems</w:t>
            </w:r>
            <w:r w:rsidR="004171B2">
              <w:rPr>
                <w:rFonts w:eastAsia="Times New Roman" w:cs="Calibri"/>
              </w:rPr>
              <w:t xml:space="preserve"> Multimedia Solutions GmbH</w:t>
            </w:r>
          </w:p>
        </w:tc>
        <w:tc>
          <w:tcPr>
            <w:tcW w:w="2835" w:type="dxa"/>
            <w:tcBorders>
              <w:top w:val="single" w:sz="4" w:space="0" w:color="auto"/>
              <w:left w:val="single" w:sz="4" w:space="0" w:color="auto"/>
              <w:bottom w:val="single" w:sz="4" w:space="0" w:color="auto"/>
              <w:right w:val="single" w:sz="4" w:space="0" w:color="auto"/>
            </w:tcBorders>
          </w:tcPr>
          <w:p w14:paraId="577F18EC" w14:textId="77777777" w:rsidR="006E3FA7" w:rsidRDefault="0012216C" w:rsidP="008110F5">
            <w:pPr>
              <w:rPr>
                <w:rFonts w:eastAsia="Times New Roman" w:cs="Calibri"/>
              </w:rPr>
            </w:pPr>
            <w:r>
              <w:rPr>
                <w:rFonts w:eastAsia="Times New Roman" w:cs="Calibri"/>
              </w:rPr>
              <w:t>Risaer Str. 5</w:t>
            </w:r>
          </w:p>
          <w:p w14:paraId="26EA8376" w14:textId="77777777" w:rsidR="002602FD" w:rsidRDefault="002602FD" w:rsidP="008110F5">
            <w:pPr>
              <w:rPr>
                <w:rFonts w:eastAsia="Times New Roman" w:cs="Calibri"/>
              </w:rPr>
            </w:pPr>
            <w:r>
              <w:rPr>
                <w:rFonts w:eastAsia="Times New Roman" w:cs="Calibri"/>
              </w:rPr>
              <w:t>01129 Dresden</w:t>
            </w:r>
          </w:p>
          <w:p w14:paraId="2C460517" w14:textId="4C23370F" w:rsidR="002602FD" w:rsidRDefault="002602FD" w:rsidP="008110F5">
            <w:pPr>
              <w:rPr>
                <w:rFonts w:eastAsia="Times New Roman" w:cs="Calibri"/>
              </w:rPr>
            </w:pPr>
            <w:r>
              <w:rPr>
                <w:rFonts w:eastAsia="Times New Roman" w:cs="Calibri"/>
              </w:rPr>
              <w:t>Deutschland</w:t>
            </w:r>
          </w:p>
        </w:tc>
        <w:tc>
          <w:tcPr>
            <w:tcW w:w="3969" w:type="dxa"/>
            <w:tcBorders>
              <w:top w:val="single" w:sz="4" w:space="0" w:color="auto"/>
              <w:left w:val="single" w:sz="4" w:space="0" w:color="auto"/>
              <w:bottom w:val="single" w:sz="4" w:space="0" w:color="auto"/>
              <w:right w:val="single" w:sz="4" w:space="0" w:color="auto"/>
            </w:tcBorders>
          </w:tcPr>
          <w:p w14:paraId="153E1062" w14:textId="5D3B4124" w:rsidR="006E3FA7" w:rsidRDefault="002602FD" w:rsidP="00A43663">
            <w:pPr>
              <w:jc w:val="both"/>
              <w:rPr>
                <w:rFonts w:eastAsia="Times New Roman" w:cs="Calibri"/>
              </w:rPr>
            </w:pPr>
            <w:r>
              <w:rPr>
                <w:rFonts w:eastAsia="Times New Roman" w:cs="Calibri"/>
              </w:rPr>
              <w:t>Bereitstellung BBB als Service</w:t>
            </w:r>
          </w:p>
        </w:tc>
      </w:tr>
      <w:tr w:rsidR="006E3FA7" w:rsidRPr="008D593B" w14:paraId="52FDE33D" w14:textId="77777777" w:rsidTr="008110F5">
        <w:tc>
          <w:tcPr>
            <w:tcW w:w="2694" w:type="dxa"/>
            <w:tcBorders>
              <w:top w:val="single" w:sz="4" w:space="0" w:color="auto"/>
              <w:left w:val="single" w:sz="4" w:space="0" w:color="auto"/>
              <w:bottom w:val="single" w:sz="4" w:space="0" w:color="auto"/>
              <w:right w:val="single" w:sz="4" w:space="0" w:color="auto"/>
            </w:tcBorders>
          </w:tcPr>
          <w:p w14:paraId="786CA7D3" w14:textId="6784AD03" w:rsidR="006E3FA7" w:rsidRDefault="00301EC0" w:rsidP="00301EC0">
            <w:pPr>
              <w:rPr>
                <w:rFonts w:eastAsia="Times New Roman" w:cs="Calibri"/>
              </w:rPr>
            </w:pPr>
            <w:r>
              <w:rPr>
                <w:rFonts w:eastAsia="Times New Roman" w:cs="Calibri"/>
              </w:rPr>
              <w:t>T-Systems International GmbH</w:t>
            </w:r>
          </w:p>
        </w:tc>
        <w:tc>
          <w:tcPr>
            <w:tcW w:w="2835" w:type="dxa"/>
            <w:tcBorders>
              <w:top w:val="single" w:sz="4" w:space="0" w:color="auto"/>
              <w:left w:val="single" w:sz="4" w:space="0" w:color="auto"/>
              <w:bottom w:val="single" w:sz="4" w:space="0" w:color="auto"/>
              <w:right w:val="single" w:sz="4" w:space="0" w:color="auto"/>
            </w:tcBorders>
          </w:tcPr>
          <w:p w14:paraId="3A986038" w14:textId="77777777" w:rsidR="006E3FA7" w:rsidRDefault="00AC0FB2" w:rsidP="008110F5">
            <w:pPr>
              <w:rPr>
                <w:rFonts w:eastAsia="Times New Roman" w:cs="Calibri"/>
              </w:rPr>
            </w:pPr>
            <w:r>
              <w:rPr>
                <w:rFonts w:eastAsia="Times New Roman" w:cs="Calibri"/>
              </w:rPr>
              <w:t>Hahnstraße 43d</w:t>
            </w:r>
          </w:p>
          <w:p w14:paraId="7B82AFF5" w14:textId="77777777" w:rsidR="00AC0FB2" w:rsidRDefault="00AC0FB2" w:rsidP="008110F5">
            <w:pPr>
              <w:rPr>
                <w:rFonts w:eastAsia="Times New Roman" w:cs="Calibri"/>
              </w:rPr>
            </w:pPr>
            <w:r>
              <w:rPr>
                <w:rFonts w:eastAsia="Times New Roman" w:cs="Calibri"/>
              </w:rPr>
              <w:t>60</w:t>
            </w:r>
            <w:r w:rsidR="008217B1">
              <w:rPr>
                <w:rFonts w:eastAsia="Times New Roman" w:cs="Calibri"/>
              </w:rPr>
              <w:t>528 Frankfurt a.M.</w:t>
            </w:r>
          </w:p>
          <w:p w14:paraId="7B6F4AE6" w14:textId="49761192" w:rsidR="008217B1" w:rsidRDefault="008217B1" w:rsidP="008110F5">
            <w:pPr>
              <w:rPr>
                <w:rFonts w:eastAsia="Times New Roman" w:cs="Calibri"/>
              </w:rPr>
            </w:pPr>
            <w:r>
              <w:rPr>
                <w:rFonts w:eastAsia="Times New Roman" w:cs="Calibri"/>
              </w:rPr>
              <w:t>Deutschland</w:t>
            </w:r>
          </w:p>
        </w:tc>
        <w:tc>
          <w:tcPr>
            <w:tcW w:w="3969" w:type="dxa"/>
            <w:tcBorders>
              <w:top w:val="single" w:sz="4" w:space="0" w:color="auto"/>
              <w:left w:val="single" w:sz="4" w:space="0" w:color="auto"/>
              <w:bottom w:val="single" w:sz="4" w:space="0" w:color="auto"/>
              <w:right w:val="single" w:sz="4" w:space="0" w:color="auto"/>
            </w:tcBorders>
          </w:tcPr>
          <w:p w14:paraId="7799667E" w14:textId="77D68900" w:rsidR="006E3FA7" w:rsidRDefault="008217B1" w:rsidP="00A43663">
            <w:pPr>
              <w:jc w:val="both"/>
              <w:rPr>
                <w:rFonts w:eastAsia="Times New Roman" w:cs="Calibri"/>
              </w:rPr>
            </w:pPr>
            <w:r>
              <w:rPr>
                <w:rFonts w:eastAsia="Times New Roman" w:cs="Calibri"/>
              </w:rPr>
              <w:t>Rechenzentrumsbetrieb Open Telekom Cloud</w:t>
            </w:r>
          </w:p>
        </w:tc>
      </w:tr>
      <w:bookmarkEnd w:id="2"/>
    </w:tbl>
    <w:p w14:paraId="28F58E78" w14:textId="77777777" w:rsidR="006C2750" w:rsidRPr="006C2750" w:rsidRDefault="006C2750" w:rsidP="006C2750"/>
    <w:sectPr w:rsidR="006C2750" w:rsidRPr="006C27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785E" w14:textId="77777777" w:rsidR="001847EA" w:rsidRDefault="001847EA" w:rsidP="008110F5">
      <w:pPr>
        <w:spacing w:after="0" w:line="240" w:lineRule="auto"/>
      </w:pPr>
      <w:r>
        <w:separator/>
      </w:r>
    </w:p>
  </w:endnote>
  <w:endnote w:type="continuationSeparator" w:id="0">
    <w:p w14:paraId="1AC3C38A" w14:textId="77777777" w:rsidR="001847EA" w:rsidRDefault="001847EA" w:rsidP="0081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0090B" w14:textId="77777777" w:rsidR="001847EA" w:rsidRDefault="001847EA" w:rsidP="008110F5">
      <w:pPr>
        <w:spacing w:after="0" w:line="240" w:lineRule="auto"/>
      </w:pPr>
      <w:r>
        <w:separator/>
      </w:r>
    </w:p>
  </w:footnote>
  <w:footnote w:type="continuationSeparator" w:id="0">
    <w:p w14:paraId="1D0CDD4F" w14:textId="77777777" w:rsidR="001847EA" w:rsidRDefault="001847EA" w:rsidP="00811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821A14"/>
    <w:multiLevelType w:val="hybridMultilevel"/>
    <w:tmpl w:val="66F2B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4E06E75"/>
    <w:multiLevelType w:val="hybridMultilevel"/>
    <w:tmpl w:val="BF6AE176"/>
    <w:lvl w:ilvl="0" w:tplc="6C94E40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572FE1"/>
    <w:multiLevelType w:val="hybridMultilevel"/>
    <w:tmpl w:val="28B65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E56EB4"/>
    <w:multiLevelType w:val="hybridMultilevel"/>
    <w:tmpl w:val="602AA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9"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2" w15:restartNumberingAfterBreak="0">
    <w:nsid w:val="5C351DEE"/>
    <w:multiLevelType w:val="hybridMultilevel"/>
    <w:tmpl w:val="D1123D0C"/>
    <w:lvl w:ilvl="0" w:tplc="6C94E40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280E8D"/>
    <w:multiLevelType w:val="hybridMultilevel"/>
    <w:tmpl w:val="BE2E64C2"/>
    <w:lvl w:ilvl="0" w:tplc="BF76956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6740463B"/>
    <w:multiLevelType w:val="hybridMultilevel"/>
    <w:tmpl w:val="356E15F4"/>
    <w:lvl w:ilvl="0" w:tplc="A7F87E1A">
      <w:start w:val="1"/>
      <w:numFmt w:val="decimal"/>
      <w:lvlText w:val="(%1)"/>
      <w:lvlJc w:val="left"/>
      <w:pPr>
        <w:ind w:left="360" w:hanging="360"/>
      </w:pPr>
      <w:rPr>
        <w:rFonts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0" w15:restartNumberingAfterBreak="0">
    <w:nsid w:val="789E0758"/>
    <w:multiLevelType w:val="hybridMultilevel"/>
    <w:tmpl w:val="EF9A8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6E3507"/>
    <w:multiLevelType w:val="hybridMultilevel"/>
    <w:tmpl w:val="D81C631C"/>
    <w:lvl w:ilvl="0" w:tplc="81F40AAC">
      <w:start w:val="1"/>
      <w:numFmt w:val="decimal"/>
      <w:lvlText w:val="(%1)"/>
      <w:lvlJc w:val="left"/>
      <w:pPr>
        <w:ind w:left="360" w:hanging="360"/>
      </w:pPr>
      <w:rPr>
        <w:rFonts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D266985"/>
    <w:multiLevelType w:val="multilevel"/>
    <w:tmpl w:val="D1C2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0"/>
  </w:num>
  <w:num w:numId="4">
    <w:abstractNumId w:val="5"/>
  </w:num>
  <w:num w:numId="5">
    <w:abstractNumId w:val="19"/>
  </w:num>
  <w:num w:numId="6">
    <w:abstractNumId w:val="31"/>
  </w:num>
  <w:num w:numId="7">
    <w:abstractNumId w:val="15"/>
  </w:num>
  <w:num w:numId="8">
    <w:abstractNumId w:val="17"/>
  </w:num>
  <w:num w:numId="9">
    <w:abstractNumId w:val="29"/>
  </w:num>
  <w:num w:numId="10">
    <w:abstractNumId w:val="21"/>
  </w:num>
  <w:num w:numId="11">
    <w:abstractNumId w:val="9"/>
  </w:num>
  <w:num w:numId="12">
    <w:abstractNumId w:val="13"/>
  </w:num>
  <w:num w:numId="13">
    <w:abstractNumId w:val="6"/>
  </w:num>
  <w:num w:numId="14">
    <w:abstractNumId w:val="28"/>
  </w:num>
  <w:num w:numId="15">
    <w:abstractNumId w:val="10"/>
  </w:num>
  <w:num w:numId="16">
    <w:abstractNumId w:val="14"/>
  </w:num>
  <w:num w:numId="17">
    <w:abstractNumId w:val="0"/>
  </w:num>
  <w:num w:numId="18">
    <w:abstractNumId w:val="16"/>
  </w:num>
  <w:num w:numId="19">
    <w:abstractNumId w:val="24"/>
  </w:num>
  <w:num w:numId="20">
    <w:abstractNumId w:val="4"/>
  </w:num>
  <w:num w:numId="21">
    <w:abstractNumId w:val="2"/>
  </w:num>
  <w:num w:numId="22">
    <w:abstractNumId w:val="26"/>
  </w:num>
  <w:num w:numId="23">
    <w:abstractNumId w:val="25"/>
  </w:num>
  <w:num w:numId="24">
    <w:abstractNumId w:val="12"/>
  </w:num>
  <w:num w:numId="25">
    <w:abstractNumId w:val="23"/>
  </w:num>
  <w:num w:numId="26">
    <w:abstractNumId w:val="1"/>
  </w:num>
  <w:num w:numId="27">
    <w:abstractNumId w:val="11"/>
  </w:num>
  <w:num w:numId="28">
    <w:abstractNumId w:val="32"/>
  </w:num>
  <w:num w:numId="29">
    <w:abstractNumId w:val="27"/>
  </w:num>
  <w:num w:numId="30">
    <w:abstractNumId w:val="8"/>
  </w:num>
  <w:num w:numId="31">
    <w:abstractNumId w:val="30"/>
  </w:num>
  <w:num w:numId="32">
    <w:abstractNumId w:val="24"/>
  </w:num>
  <w:num w:numId="33">
    <w:abstractNumId w:val="22"/>
  </w:num>
  <w:num w:numId="34">
    <w:abstractNumId w:val="3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346E6"/>
    <w:rsid w:val="0012216C"/>
    <w:rsid w:val="00133A0D"/>
    <w:rsid w:val="001344E4"/>
    <w:rsid w:val="00152874"/>
    <w:rsid w:val="00155962"/>
    <w:rsid w:val="001847EA"/>
    <w:rsid w:val="001B06FC"/>
    <w:rsid w:val="00225A81"/>
    <w:rsid w:val="00231EC6"/>
    <w:rsid w:val="002459C9"/>
    <w:rsid w:val="00246021"/>
    <w:rsid w:val="002602FD"/>
    <w:rsid w:val="00301EC0"/>
    <w:rsid w:val="003A067D"/>
    <w:rsid w:val="003D0049"/>
    <w:rsid w:val="00400326"/>
    <w:rsid w:val="004171B2"/>
    <w:rsid w:val="00463B3B"/>
    <w:rsid w:val="0047300C"/>
    <w:rsid w:val="0049309E"/>
    <w:rsid w:val="00581829"/>
    <w:rsid w:val="005A7222"/>
    <w:rsid w:val="005B56E5"/>
    <w:rsid w:val="00614610"/>
    <w:rsid w:val="006267B1"/>
    <w:rsid w:val="006341F8"/>
    <w:rsid w:val="006B47A4"/>
    <w:rsid w:val="006C2750"/>
    <w:rsid w:val="006E3FA7"/>
    <w:rsid w:val="00713FC3"/>
    <w:rsid w:val="00765A5A"/>
    <w:rsid w:val="00777832"/>
    <w:rsid w:val="007E5A48"/>
    <w:rsid w:val="007F78BD"/>
    <w:rsid w:val="008025EF"/>
    <w:rsid w:val="008110F5"/>
    <w:rsid w:val="008217B1"/>
    <w:rsid w:val="00876E82"/>
    <w:rsid w:val="00890F35"/>
    <w:rsid w:val="008D4FB4"/>
    <w:rsid w:val="009613A9"/>
    <w:rsid w:val="00990B8D"/>
    <w:rsid w:val="009A0BC0"/>
    <w:rsid w:val="009D0731"/>
    <w:rsid w:val="009D45A9"/>
    <w:rsid w:val="009E6757"/>
    <w:rsid w:val="00A243F7"/>
    <w:rsid w:val="00A44856"/>
    <w:rsid w:val="00A470E1"/>
    <w:rsid w:val="00AC0669"/>
    <w:rsid w:val="00AC0FB2"/>
    <w:rsid w:val="00AD1AED"/>
    <w:rsid w:val="00AF3530"/>
    <w:rsid w:val="00B164DA"/>
    <w:rsid w:val="00B322AA"/>
    <w:rsid w:val="00B63321"/>
    <w:rsid w:val="00B76076"/>
    <w:rsid w:val="00BA6A4C"/>
    <w:rsid w:val="00C51BA9"/>
    <w:rsid w:val="00C563B7"/>
    <w:rsid w:val="00C569A1"/>
    <w:rsid w:val="00C8746A"/>
    <w:rsid w:val="00CC6979"/>
    <w:rsid w:val="00D01D31"/>
    <w:rsid w:val="00D251D3"/>
    <w:rsid w:val="00D31194"/>
    <w:rsid w:val="00D420F6"/>
    <w:rsid w:val="00DC104C"/>
    <w:rsid w:val="00DE2756"/>
    <w:rsid w:val="00DF55E9"/>
    <w:rsid w:val="00E0527C"/>
    <w:rsid w:val="00E64477"/>
    <w:rsid w:val="00E8777F"/>
    <w:rsid w:val="00EC1D8C"/>
    <w:rsid w:val="00ED3F3C"/>
    <w:rsid w:val="00F16765"/>
    <w:rsid w:val="00F7527F"/>
    <w:rsid w:val="00FB3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0CCC"/>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2333</Words>
  <Characters>14705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cp:keywords/>
  <dc:description/>
  <cp:lastModifiedBy>Ingo List</cp:lastModifiedBy>
  <cp:revision>32</cp:revision>
  <dcterms:created xsi:type="dcterms:W3CDTF">2020-11-03T07:54:00Z</dcterms:created>
  <dcterms:modified xsi:type="dcterms:W3CDTF">2020-11-11T15:24:00Z</dcterms:modified>
</cp:coreProperties>
</file>